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7299CF" w14:textId="6938AC84" w:rsidR="0020658D" w:rsidRPr="00CE0424" w:rsidRDefault="0020658D" w:rsidP="0020658D">
      <w:pPr>
        <w:pStyle w:val="3GPPHeader"/>
        <w:spacing w:after="60"/>
        <w:rPr>
          <w:sz w:val="32"/>
          <w:szCs w:val="32"/>
          <w:highlight w:val="yellow"/>
        </w:rPr>
      </w:pPr>
      <w:bookmarkStart w:id="0" w:name="_Hlk67389008"/>
      <w:bookmarkEnd w:id="0"/>
      <w:r w:rsidRPr="00CE0424">
        <w:t>3GPP TSG-RAN WG</w:t>
      </w:r>
      <w:r>
        <w:t>1</w:t>
      </w:r>
      <w:r w:rsidRPr="00CE0424">
        <w:t xml:space="preserve"> </w:t>
      </w:r>
      <w:r>
        <w:t xml:space="preserve">Meeting </w:t>
      </w:r>
      <w:r w:rsidRPr="00CE0424">
        <w:t>#</w:t>
      </w:r>
      <w:r>
        <w:t>104bis-e</w:t>
      </w:r>
      <w:r w:rsidRPr="00CE0424">
        <w:tab/>
      </w:r>
      <w:proofErr w:type="spellStart"/>
      <w:r w:rsidRPr="00CE0424">
        <w:rPr>
          <w:sz w:val="32"/>
          <w:szCs w:val="32"/>
        </w:rPr>
        <w:t>Tdoc</w:t>
      </w:r>
      <w:proofErr w:type="spellEnd"/>
      <w:r w:rsidRPr="00CE0424">
        <w:rPr>
          <w:sz w:val="32"/>
          <w:szCs w:val="32"/>
        </w:rPr>
        <w:t xml:space="preserve"> </w:t>
      </w:r>
      <w:r w:rsidRPr="00483970">
        <w:rPr>
          <w:sz w:val="32"/>
          <w:szCs w:val="32"/>
        </w:rPr>
        <w:t>R1-21</w:t>
      </w:r>
      <w:r w:rsidR="00483970" w:rsidRPr="00483970">
        <w:rPr>
          <w:sz w:val="32"/>
          <w:szCs w:val="32"/>
        </w:rPr>
        <w:t>02789</w:t>
      </w:r>
    </w:p>
    <w:p w14:paraId="10838905" w14:textId="77777777" w:rsidR="0020658D" w:rsidRPr="00CE0424" w:rsidRDefault="0020658D" w:rsidP="0020658D">
      <w:pPr>
        <w:pStyle w:val="3GPPHeader"/>
      </w:pPr>
      <w:r>
        <w:t>e-Meeting, 12</w:t>
      </w:r>
      <w:r w:rsidRPr="0083546B">
        <w:rPr>
          <w:vertAlign w:val="superscript"/>
        </w:rPr>
        <w:t>th</w:t>
      </w:r>
      <w:r>
        <w:t xml:space="preserve"> – 20</w:t>
      </w:r>
      <w:r w:rsidRPr="00D5130F">
        <w:rPr>
          <w:vertAlign w:val="superscript"/>
        </w:rPr>
        <w:t>th</w:t>
      </w:r>
      <w:r>
        <w:t xml:space="preserve"> </w:t>
      </w:r>
      <w:proofErr w:type="gramStart"/>
      <w:r>
        <w:t>April,</w:t>
      </w:r>
      <w:proofErr w:type="gramEnd"/>
      <w:r>
        <w:t xml:space="preserve"> 2021</w:t>
      </w:r>
    </w:p>
    <w:p w14:paraId="692629A7" w14:textId="2C95F258" w:rsidR="00394451" w:rsidRPr="00FB1644" w:rsidRDefault="00394451" w:rsidP="00394451">
      <w:pPr>
        <w:pStyle w:val="3GPPHeader"/>
        <w:rPr>
          <w:sz w:val="22"/>
        </w:rPr>
      </w:pPr>
      <w:r w:rsidRPr="00FB1644">
        <w:rPr>
          <w:sz w:val="22"/>
        </w:rPr>
        <w:t>Agenda Item:</w:t>
      </w:r>
      <w:r w:rsidRPr="00FB1644">
        <w:rPr>
          <w:sz w:val="22"/>
        </w:rPr>
        <w:tab/>
        <w:t>8.2.2</w:t>
      </w:r>
    </w:p>
    <w:p w14:paraId="7818D0E5" w14:textId="77777777" w:rsidR="00394451" w:rsidRPr="00CE0424" w:rsidRDefault="00394451" w:rsidP="00394451">
      <w:pPr>
        <w:pStyle w:val="3GPPHeader"/>
        <w:rPr>
          <w:sz w:val="22"/>
        </w:rPr>
      </w:pPr>
      <w:r>
        <w:rPr>
          <w:sz w:val="22"/>
        </w:rPr>
        <w:t>Source:</w:t>
      </w:r>
      <w:r w:rsidRPr="00CE0424">
        <w:rPr>
          <w:sz w:val="22"/>
        </w:rPr>
        <w:tab/>
        <w:t>Ericsson</w:t>
      </w:r>
    </w:p>
    <w:p w14:paraId="6B12CA3D" w14:textId="753BC0BF" w:rsidR="00394451" w:rsidRPr="00CE0424" w:rsidRDefault="00394451" w:rsidP="00394451">
      <w:pPr>
        <w:pStyle w:val="3GPPHeader"/>
        <w:rPr>
          <w:sz w:val="22"/>
        </w:rPr>
      </w:pPr>
      <w:r>
        <w:rPr>
          <w:sz w:val="22"/>
        </w:rPr>
        <w:t>Title:</w:t>
      </w:r>
      <w:r w:rsidRPr="00CE0424">
        <w:rPr>
          <w:sz w:val="22"/>
        </w:rPr>
        <w:tab/>
      </w:r>
      <w:r w:rsidRPr="00394451">
        <w:rPr>
          <w:sz w:val="22"/>
        </w:rPr>
        <w:t>PDCCH monitoring enhancements</w:t>
      </w:r>
    </w:p>
    <w:p w14:paraId="4AE57979" w14:textId="77777777" w:rsidR="00394451" w:rsidRPr="00CE0424" w:rsidRDefault="00394451" w:rsidP="00394451">
      <w:pPr>
        <w:pStyle w:val="3GPPHeader"/>
        <w:rPr>
          <w:sz w:val="22"/>
        </w:rPr>
      </w:pPr>
      <w:r w:rsidRPr="00CE0424">
        <w:rPr>
          <w:sz w:val="22"/>
        </w:rPr>
        <w:t>Document for:</w:t>
      </w:r>
      <w:r w:rsidRPr="00CE0424">
        <w:rPr>
          <w:sz w:val="22"/>
        </w:rPr>
        <w:tab/>
      </w:r>
      <w:r w:rsidRPr="000237A3">
        <w:rPr>
          <w:sz w:val="22"/>
        </w:rPr>
        <w:t>Discussion, Decision</w:t>
      </w:r>
    </w:p>
    <w:p w14:paraId="11546F93" w14:textId="77777777" w:rsidR="00394451" w:rsidRPr="00CE0424" w:rsidRDefault="00394451" w:rsidP="00394451">
      <w:pPr>
        <w:pStyle w:val="Heading1"/>
      </w:pPr>
      <w:bookmarkStart w:id="1" w:name="_Toc67653037"/>
      <w:r>
        <w:t>1</w:t>
      </w:r>
      <w:r>
        <w:tab/>
      </w:r>
      <w:r w:rsidRPr="00CE0424">
        <w:t>Introduction</w:t>
      </w:r>
      <w:bookmarkEnd w:id="1"/>
    </w:p>
    <w:p w14:paraId="3CBB3A5A" w14:textId="64F8EF3C" w:rsidR="00A64A16" w:rsidRDefault="00332C63" w:rsidP="00394451">
      <w:pPr>
        <w:pStyle w:val="BodyText"/>
      </w:pPr>
      <w:r w:rsidRPr="00332C63">
        <w:t>A</w:t>
      </w:r>
      <w:r w:rsidR="004D0756">
        <w:t xml:space="preserve"> revised</w:t>
      </w:r>
      <w:r w:rsidRPr="00332C63">
        <w:t xml:space="preserve"> WI</w:t>
      </w:r>
      <w:r>
        <w:t>D</w:t>
      </w:r>
      <w:r w:rsidRPr="00332C63">
        <w:t xml:space="preserve"> </w:t>
      </w:r>
      <w:r w:rsidR="00622BE3">
        <w:fldChar w:fldCharType="begin"/>
      </w:r>
      <w:r w:rsidR="00622BE3">
        <w:instrText xml:space="preserve"> REF _Ref61437387 \r \h </w:instrText>
      </w:r>
      <w:r w:rsidR="00622BE3">
        <w:fldChar w:fldCharType="separate"/>
      </w:r>
      <w:r w:rsidR="00711D1F">
        <w:t>[1]</w:t>
      </w:r>
      <w:r w:rsidR="00622BE3">
        <w:fldChar w:fldCharType="end"/>
      </w:r>
      <w:r w:rsidR="004D0756">
        <w:t xml:space="preserve"> </w:t>
      </w:r>
      <w:r w:rsidRPr="00332C63">
        <w:t>w</w:t>
      </w:r>
      <w:r w:rsidR="001B7F5D">
        <w:t>as</w:t>
      </w:r>
      <w:r w:rsidRPr="00332C63">
        <w:t xml:space="preserve"> approved in RAN #</w:t>
      </w:r>
      <w:r w:rsidR="007868F6">
        <w:t>90</w:t>
      </w:r>
      <w:r w:rsidRPr="00332C63">
        <w:t xml:space="preserve"> to </w:t>
      </w:r>
      <w:r w:rsidR="004A7CDE" w:rsidRPr="004A7CDE">
        <w:t>extends NR operation up to 71GHz considering, both, licensed and unlicensed operation</w:t>
      </w:r>
      <w:r w:rsidRPr="00332C63">
        <w:t xml:space="preserve">. </w:t>
      </w:r>
      <w:r w:rsidR="002E451E" w:rsidRPr="002E451E">
        <w:t>Among other items, the WID "Extending current NR operation to 71 GHz" includes the following RAN1 objective</w:t>
      </w:r>
      <w:r w:rsidR="002E451E">
        <w:t>:</w:t>
      </w:r>
    </w:p>
    <w:p w14:paraId="2253749B" w14:textId="19DC63EB" w:rsidR="002E451E" w:rsidRDefault="00B03FD8" w:rsidP="00B03FD8">
      <w:pPr>
        <w:pStyle w:val="BodyText"/>
        <w:ind w:left="567"/>
      </w:pPr>
      <w:r w:rsidRPr="00B03FD8">
        <w:t>Support enhancement to PDCCH monitoring, including blind detection/CCE budget, and multi-slot span monitoring, potential limitation to UE PDCCH configuration and capability related to PDCCH monitoring.</w:t>
      </w:r>
    </w:p>
    <w:p w14:paraId="4885A563" w14:textId="5666B1AE" w:rsidR="000F437C" w:rsidRDefault="0032365E" w:rsidP="00394451">
      <w:pPr>
        <w:pStyle w:val="BodyText"/>
      </w:pPr>
      <w:r>
        <w:t xml:space="preserve">With respect to </w:t>
      </w:r>
      <w:r w:rsidR="00075F91">
        <w:t>PDCCH monitoring capability enhancements, it was agreed in RAN1 #104-e</w:t>
      </w:r>
      <w:r w:rsidR="000F437C">
        <w:t>:</w:t>
      </w:r>
    </w:p>
    <w:p w14:paraId="54D0DAAA" w14:textId="77777777" w:rsidR="00031EF1" w:rsidRPr="00100C85" w:rsidRDefault="00031EF1" w:rsidP="002A14E4">
      <w:pPr>
        <w:spacing w:after="0"/>
        <w:ind w:left="2002" w:hanging="1440"/>
        <w:rPr>
          <w:rFonts w:cs="Arial"/>
          <w:szCs w:val="20"/>
          <w:lang w:eastAsia="x-none"/>
        </w:rPr>
      </w:pPr>
      <w:r w:rsidRPr="00100C85">
        <w:rPr>
          <w:rFonts w:cs="Arial"/>
          <w:szCs w:val="20"/>
          <w:highlight w:val="green"/>
          <w:lang w:eastAsia="x-none"/>
        </w:rPr>
        <w:t>Agreement:</w:t>
      </w:r>
    </w:p>
    <w:p w14:paraId="6B6197A7" w14:textId="77777777" w:rsidR="00031EF1" w:rsidRPr="00100C85" w:rsidRDefault="00031EF1" w:rsidP="00031EF1">
      <w:pPr>
        <w:ind w:left="2007" w:hanging="1440"/>
        <w:rPr>
          <w:rFonts w:cs="Arial"/>
          <w:szCs w:val="20"/>
          <w:lang w:eastAsia="x-none"/>
        </w:rPr>
      </w:pPr>
      <w:r w:rsidRPr="00100C85">
        <w:rPr>
          <w:rFonts w:cs="Arial"/>
          <w:szCs w:val="20"/>
          <w:lang w:eastAsia="x-none"/>
        </w:rPr>
        <w:t>Choose one of the following alternatives for defining the multi-slot PDCCH monitoring capability</w:t>
      </w:r>
    </w:p>
    <w:p w14:paraId="1A03D117" w14:textId="77777777" w:rsidR="00031EF1" w:rsidRPr="00100C85" w:rsidRDefault="00031EF1" w:rsidP="00031EF1">
      <w:pPr>
        <w:pStyle w:val="ListParagraph"/>
        <w:numPr>
          <w:ilvl w:val="0"/>
          <w:numId w:val="27"/>
        </w:numPr>
        <w:snapToGrid w:val="0"/>
        <w:ind w:left="1287"/>
        <w:rPr>
          <w:rFonts w:ascii="Arial" w:hAnsi="Arial" w:cs="Arial"/>
          <w:sz w:val="20"/>
          <w:szCs w:val="20"/>
        </w:rPr>
      </w:pPr>
      <w:r w:rsidRPr="00100C85">
        <w:rPr>
          <w:rFonts w:ascii="Arial" w:hAnsi="Arial" w:cs="Arial"/>
          <w:sz w:val="20"/>
          <w:szCs w:val="20"/>
        </w:rPr>
        <w:t xml:space="preserve">Alt 1: A fixed pattern of N slots. </w:t>
      </w:r>
    </w:p>
    <w:p w14:paraId="1F7916BB" w14:textId="77777777" w:rsidR="00031EF1" w:rsidRPr="00100C85" w:rsidRDefault="00031EF1" w:rsidP="00031EF1">
      <w:pPr>
        <w:pStyle w:val="ListParagraph"/>
        <w:numPr>
          <w:ilvl w:val="0"/>
          <w:numId w:val="27"/>
        </w:numPr>
        <w:snapToGrid w:val="0"/>
        <w:ind w:left="1287"/>
        <w:rPr>
          <w:rFonts w:ascii="Arial" w:hAnsi="Arial" w:cs="Arial"/>
          <w:sz w:val="20"/>
          <w:szCs w:val="20"/>
        </w:rPr>
      </w:pPr>
      <w:r w:rsidRPr="00100C85">
        <w:rPr>
          <w:rFonts w:ascii="Arial" w:hAnsi="Arial" w:cs="Arial"/>
          <w:sz w:val="20"/>
          <w:szCs w:val="20"/>
        </w:rPr>
        <w:t>Alt 2: Use the Rel-16 capability (</w:t>
      </w:r>
      <w:r w:rsidRPr="00100C85">
        <w:rPr>
          <w:rFonts w:ascii="Arial" w:hAnsi="Arial" w:cs="Arial"/>
          <w:i/>
          <w:iCs/>
          <w:sz w:val="20"/>
          <w:szCs w:val="20"/>
        </w:rPr>
        <w:t>pdcch-Monitoring-r16</w:t>
      </w:r>
      <w:r w:rsidRPr="00100C85">
        <w:rPr>
          <w:rFonts w:ascii="Arial" w:hAnsi="Arial" w:cs="Arial"/>
          <w:sz w:val="20"/>
          <w:szCs w:val="20"/>
        </w:rPr>
        <w:t>, (X, Y) span) as the baseline to define the new capability</w:t>
      </w:r>
    </w:p>
    <w:p w14:paraId="0369C054" w14:textId="77777777" w:rsidR="00031EF1" w:rsidRPr="00100C85" w:rsidRDefault="00031EF1" w:rsidP="00031EF1">
      <w:pPr>
        <w:pStyle w:val="ListParagraph"/>
        <w:numPr>
          <w:ilvl w:val="1"/>
          <w:numId w:val="27"/>
        </w:numPr>
        <w:snapToGrid w:val="0"/>
        <w:ind w:left="2007"/>
        <w:rPr>
          <w:rFonts w:ascii="Arial" w:hAnsi="Arial" w:cs="Arial"/>
          <w:sz w:val="20"/>
          <w:szCs w:val="20"/>
        </w:rPr>
      </w:pPr>
      <w:r w:rsidRPr="00100C85">
        <w:rPr>
          <w:rFonts w:ascii="Arial" w:hAnsi="Arial" w:cs="Arial"/>
          <w:sz w:val="20"/>
          <w:szCs w:val="20"/>
        </w:rPr>
        <w:t xml:space="preserve">FFS: Values of X and Y and units in which they are defined </w:t>
      </w:r>
    </w:p>
    <w:p w14:paraId="0B04196E" w14:textId="77777777" w:rsidR="00031EF1" w:rsidRPr="00100C85" w:rsidRDefault="00031EF1" w:rsidP="00031EF1">
      <w:pPr>
        <w:pStyle w:val="ListParagraph"/>
        <w:numPr>
          <w:ilvl w:val="1"/>
          <w:numId w:val="27"/>
        </w:numPr>
        <w:snapToGrid w:val="0"/>
        <w:ind w:left="2007"/>
        <w:rPr>
          <w:rFonts w:ascii="Arial" w:hAnsi="Arial" w:cs="Arial"/>
          <w:sz w:val="20"/>
          <w:szCs w:val="20"/>
        </w:rPr>
      </w:pPr>
      <w:r w:rsidRPr="00100C85">
        <w:rPr>
          <w:rFonts w:ascii="Arial" w:hAnsi="Arial" w:cs="Arial"/>
          <w:sz w:val="20"/>
          <w:szCs w:val="20"/>
        </w:rPr>
        <w:t>FFS: Whether number of slots within which the number of monitoring occasions is counted is needed and if needed, the value of the number of slots</w:t>
      </w:r>
    </w:p>
    <w:p w14:paraId="37504C4E" w14:textId="77777777" w:rsidR="00031EF1" w:rsidRPr="00100C85" w:rsidRDefault="00031EF1" w:rsidP="00031EF1">
      <w:pPr>
        <w:pStyle w:val="ListParagraph"/>
        <w:numPr>
          <w:ilvl w:val="0"/>
          <w:numId w:val="27"/>
        </w:numPr>
        <w:snapToGrid w:val="0"/>
        <w:ind w:left="1287"/>
        <w:rPr>
          <w:rFonts w:ascii="Arial" w:hAnsi="Arial" w:cs="Arial"/>
          <w:sz w:val="20"/>
          <w:szCs w:val="20"/>
        </w:rPr>
      </w:pPr>
      <w:r w:rsidRPr="00100C85">
        <w:rPr>
          <w:rFonts w:ascii="Arial" w:hAnsi="Arial" w:cs="Arial"/>
          <w:sz w:val="20"/>
          <w:szCs w:val="20"/>
        </w:rPr>
        <w:t xml:space="preserve">Alt 3: A sliding window of N slots for defining multi-slot PDCCH monitoring capability. </w:t>
      </w:r>
    </w:p>
    <w:p w14:paraId="1E8C20C8" w14:textId="77777777" w:rsidR="00031EF1" w:rsidRPr="00100C85" w:rsidRDefault="00031EF1" w:rsidP="00031EF1">
      <w:pPr>
        <w:pStyle w:val="ListParagraph"/>
        <w:numPr>
          <w:ilvl w:val="1"/>
          <w:numId w:val="27"/>
        </w:numPr>
        <w:snapToGrid w:val="0"/>
        <w:ind w:left="2007"/>
        <w:rPr>
          <w:rFonts w:ascii="Arial" w:hAnsi="Arial" w:cs="Arial"/>
          <w:sz w:val="20"/>
          <w:szCs w:val="20"/>
        </w:rPr>
      </w:pPr>
      <w:r w:rsidRPr="00100C85">
        <w:rPr>
          <w:rFonts w:ascii="Arial" w:hAnsi="Arial" w:cs="Arial"/>
          <w:sz w:val="20"/>
          <w:szCs w:val="20"/>
        </w:rPr>
        <w:t>FFS: Increments in which sliding occurs</w:t>
      </w:r>
    </w:p>
    <w:p w14:paraId="00D26756" w14:textId="77777777" w:rsidR="00031EF1" w:rsidRPr="00100C85" w:rsidRDefault="00031EF1" w:rsidP="00031EF1">
      <w:pPr>
        <w:pStyle w:val="ListParagraph"/>
        <w:numPr>
          <w:ilvl w:val="0"/>
          <w:numId w:val="27"/>
        </w:numPr>
        <w:snapToGrid w:val="0"/>
        <w:ind w:left="1287"/>
        <w:rPr>
          <w:rFonts w:ascii="Arial" w:hAnsi="Arial" w:cs="Arial"/>
          <w:sz w:val="20"/>
          <w:szCs w:val="20"/>
        </w:rPr>
      </w:pPr>
      <w:r w:rsidRPr="00100C85">
        <w:rPr>
          <w:rFonts w:ascii="Arial" w:hAnsi="Arial" w:cs="Arial"/>
          <w:sz w:val="20"/>
          <w:szCs w:val="20"/>
        </w:rPr>
        <w:t xml:space="preserve">Specific numbers for X, Y and N may depend on UE capability and </w:t>
      </w:r>
      <w:proofErr w:type="spellStart"/>
      <w:r w:rsidRPr="00100C85">
        <w:rPr>
          <w:rFonts w:ascii="Arial" w:hAnsi="Arial" w:cs="Arial"/>
          <w:sz w:val="20"/>
          <w:szCs w:val="20"/>
        </w:rPr>
        <w:t>gNB</w:t>
      </w:r>
      <w:proofErr w:type="spellEnd"/>
      <w:r w:rsidRPr="00100C85">
        <w:rPr>
          <w:rFonts w:ascii="Arial" w:hAnsi="Arial" w:cs="Arial"/>
          <w:sz w:val="20"/>
          <w:szCs w:val="20"/>
        </w:rPr>
        <w:t xml:space="preserve"> configuration</w:t>
      </w:r>
    </w:p>
    <w:p w14:paraId="22D2F715" w14:textId="77777777" w:rsidR="00031EF1" w:rsidRPr="00100C85" w:rsidRDefault="00031EF1" w:rsidP="00031EF1">
      <w:pPr>
        <w:pStyle w:val="ListParagraph"/>
        <w:numPr>
          <w:ilvl w:val="1"/>
          <w:numId w:val="27"/>
        </w:numPr>
        <w:snapToGrid w:val="0"/>
        <w:ind w:left="2007"/>
        <w:rPr>
          <w:rFonts w:ascii="Arial" w:hAnsi="Arial" w:cs="Arial"/>
          <w:sz w:val="20"/>
          <w:szCs w:val="20"/>
        </w:rPr>
      </w:pPr>
      <w:r w:rsidRPr="00100C85">
        <w:rPr>
          <w:rFonts w:ascii="Arial" w:hAnsi="Arial" w:cs="Arial"/>
          <w:sz w:val="20"/>
          <w:szCs w:val="20"/>
        </w:rPr>
        <w:t xml:space="preserve">Examples: </w:t>
      </w:r>
    </w:p>
    <w:p w14:paraId="125D93E2" w14:textId="77777777" w:rsidR="00031EF1" w:rsidRPr="00100C85" w:rsidRDefault="00031EF1" w:rsidP="00031EF1">
      <w:pPr>
        <w:pStyle w:val="ListParagraph"/>
        <w:numPr>
          <w:ilvl w:val="2"/>
          <w:numId w:val="27"/>
        </w:numPr>
        <w:snapToGrid w:val="0"/>
        <w:ind w:left="2727"/>
        <w:rPr>
          <w:rFonts w:ascii="Arial" w:hAnsi="Arial" w:cs="Arial"/>
          <w:sz w:val="20"/>
          <w:szCs w:val="20"/>
        </w:rPr>
      </w:pPr>
      <w:r w:rsidRPr="00100C85">
        <w:rPr>
          <w:rFonts w:ascii="Arial" w:hAnsi="Arial" w:cs="Arial"/>
          <w:sz w:val="20"/>
          <w:szCs w:val="20"/>
        </w:rPr>
        <w:t>N = [4] slots for 480 kHz SCS and N = [8] slots for 960 kHz SCS</w:t>
      </w:r>
    </w:p>
    <w:p w14:paraId="2AFF0D5F" w14:textId="77777777" w:rsidR="00031EF1" w:rsidRPr="00100C85" w:rsidRDefault="00031EF1" w:rsidP="00031EF1">
      <w:pPr>
        <w:pStyle w:val="ListParagraph"/>
        <w:numPr>
          <w:ilvl w:val="2"/>
          <w:numId w:val="27"/>
        </w:numPr>
        <w:snapToGrid w:val="0"/>
        <w:spacing w:after="160"/>
        <w:ind w:left="2722"/>
        <w:rPr>
          <w:rFonts w:ascii="Arial" w:hAnsi="Arial" w:cs="Arial"/>
          <w:sz w:val="20"/>
          <w:szCs w:val="20"/>
        </w:rPr>
      </w:pPr>
      <w:r w:rsidRPr="00100C85">
        <w:rPr>
          <w:rFonts w:ascii="Arial" w:hAnsi="Arial" w:cs="Arial"/>
          <w:sz w:val="20"/>
          <w:szCs w:val="20"/>
        </w:rPr>
        <w:t>X = [4] slots for 480 kHz SCS and X = [8] slots for 960 kHz SCS</w:t>
      </w:r>
    </w:p>
    <w:p w14:paraId="24D761FA" w14:textId="3A301879" w:rsidR="0054255F" w:rsidRPr="00CE0424" w:rsidRDefault="003E33A4" w:rsidP="00394451">
      <w:pPr>
        <w:pStyle w:val="BodyText"/>
      </w:pPr>
      <w:r w:rsidRPr="003E33A4">
        <w:t>In this contribution,</w:t>
      </w:r>
      <w:r>
        <w:t xml:space="preserve"> we first discuss the UE PDCCH processing capabilities for new SCS</w:t>
      </w:r>
      <w:r w:rsidR="00220791">
        <w:t xml:space="preserve">. We </w:t>
      </w:r>
      <w:r w:rsidR="00191EEA">
        <w:t xml:space="preserve">then </w:t>
      </w:r>
      <w:r w:rsidR="009C34C8">
        <w:t xml:space="preserve">explore </w:t>
      </w:r>
      <w:r w:rsidR="00220791">
        <w:t xml:space="preserve">the solutions to support multi-slot PDCCH </w:t>
      </w:r>
      <w:r w:rsidR="0014122C">
        <w:t>monitoring.</w:t>
      </w:r>
    </w:p>
    <w:p w14:paraId="19EFBA2B" w14:textId="77777777" w:rsidR="00B46565" w:rsidRDefault="008B506A" w:rsidP="00A27B63">
      <w:pPr>
        <w:pStyle w:val="Heading1"/>
      </w:pPr>
      <w:bookmarkStart w:id="2" w:name="_Toc67653038"/>
      <w:r>
        <w:t>2</w:t>
      </w:r>
      <w:r>
        <w:tab/>
      </w:r>
      <w:r w:rsidR="00B46565">
        <w:t>Discussion</w:t>
      </w:r>
      <w:bookmarkEnd w:id="2"/>
    </w:p>
    <w:p w14:paraId="3FD0671F" w14:textId="5B5C3FDB" w:rsidR="000C0CF8" w:rsidRDefault="000C0CF8" w:rsidP="000C0CF8">
      <w:pPr>
        <w:pStyle w:val="Heading2"/>
      </w:pPr>
      <w:bookmarkStart w:id="3" w:name="_Toc67653039"/>
      <w:r>
        <w:t>2.</w:t>
      </w:r>
      <w:r w:rsidR="00E9206F">
        <w:t>1</w:t>
      </w:r>
      <w:r>
        <w:tab/>
        <w:t xml:space="preserve">Joint </w:t>
      </w:r>
      <w:r w:rsidR="008A49E0">
        <w:t xml:space="preserve">multi-slot </w:t>
      </w:r>
      <w:r w:rsidR="009A2C3F">
        <w:t xml:space="preserve">PDCCH monitoring design </w:t>
      </w:r>
      <w:r w:rsidR="008A49E0">
        <w:t xml:space="preserve">principles </w:t>
      </w:r>
      <w:r w:rsidR="009A2C3F">
        <w:t xml:space="preserve">for both </w:t>
      </w:r>
      <w:proofErr w:type="spellStart"/>
      <w:r w:rsidR="009A2C3F">
        <w:t>gNB</w:t>
      </w:r>
      <w:proofErr w:type="spellEnd"/>
      <w:r w:rsidR="009A2C3F">
        <w:t xml:space="preserve"> and UE</w:t>
      </w:r>
      <w:bookmarkEnd w:id="3"/>
    </w:p>
    <w:p w14:paraId="09A68F29" w14:textId="6FECD191" w:rsidR="0071684A" w:rsidRDefault="00512A74" w:rsidP="00EC5283">
      <w:pPr>
        <w:pStyle w:val="BodyText"/>
      </w:pPr>
      <w:r>
        <w:t>From the per-slot PDCCH processing capability discussion</w:t>
      </w:r>
      <w:r w:rsidR="001E4E93">
        <w:t xml:space="preserve"> in Section 2.3.1</w:t>
      </w:r>
      <w:r>
        <w:t>, it becomes c</w:t>
      </w:r>
      <w:r w:rsidR="00EC5283" w:rsidRPr="00EC5283">
        <w:t>lear</w:t>
      </w:r>
      <w:r>
        <w:t xml:space="preserve"> that</w:t>
      </w:r>
      <w:r w:rsidR="00EC5283" w:rsidRPr="00EC5283">
        <w:t xml:space="preserve"> </w:t>
      </w:r>
      <w:r w:rsidR="00CF4604">
        <w:t xml:space="preserve">reducing the </w:t>
      </w:r>
      <w:r w:rsidR="00CF4604" w:rsidRPr="00B4622A">
        <w:rPr>
          <w:u w:val="single"/>
        </w:rPr>
        <w:t>periodicity</w:t>
      </w:r>
      <w:r w:rsidR="00CF4604" w:rsidRPr="00EC5283">
        <w:t xml:space="preserve"> of PDCCH monitoring </w:t>
      </w:r>
      <w:r w:rsidR="00CF4604" w:rsidRPr="00B4622A">
        <w:rPr>
          <w:u w:val="single"/>
        </w:rPr>
        <w:t xml:space="preserve">at </w:t>
      </w:r>
      <w:r w:rsidR="00256B1A" w:rsidRPr="00B4622A">
        <w:rPr>
          <w:u w:val="single"/>
        </w:rPr>
        <w:t>the</w:t>
      </w:r>
      <w:r w:rsidR="00CF4604" w:rsidRPr="00B4622A">
        <w:rPr>
          <w:u w:val="single"/>
        </w:rPr>
        <w:t xml:space="preserve"> UE </w:t>
      </w:r>
      <w:r w:rsidR="00256B1A" w:rsidRPr="00B4622A">
        <w:rPr>
          <w:u w:val="single"/>
        </w:rPr>
        <w:t>side</w:t>
      </w:r>
      <w:r w:rsidR="00256B1A">
        <w:t xml:space="preserve"> </w:t>
      </w:r>
      <w:r w:rsidR="00CF4604">
        <w:t>can</w:t>
      </w:r>
      <w:r w:rsidR="00CF4604" w:rsidRPr="00EC5283">
        <w:t xml:space="preserve"> allow more time for the UE to process the PDCCH candidates</w:t>
      </w:r>
      <w:r w:rsidR="00256B1A">
        <w:t>.</w:t>
      </w:r>
      <w:r w:rsidR="00B4622A">
        <w:t xml:space="preserve"> </w:t>
      </w:r>
      <w:r w:rsidR="0071684A" w:rsidRPr="0004448E">
        <w:t xml:space="preserve">PDCCH monitoring per multiple slots is in fact supported in Rel-15 specs already. In the configuration of </w:t>
      </w:r>
      <w:proofErr w:type="spellStart"/>
      <w:r w:rsidR="0071684A" w:rsidRPr="0004448E">
        <w:rPr>
          <w:rFonts w:ascii="Courier New" w:hAnsi="Courier New" w:cs="Courier New"/>
        </w:rPr>
        <w:t>SearchSpace</w:t>
      </w:r>
      <w:proofErr w:type="spellEnd"/>
      <w:r w:rsidR="0071684A" w:rsidRPr="0004448E">
        <w:t>, the monitoring periodicity and the offset within the periodicity can be configured using the parameter which allows the periodicity to be configured as 1, 2, 4, 5, 8, 10, … slots up to a maximum of 12560 slots.</w:t>
      </w:r>
    </w:p>
    <w:p w14:paraId="5F85DEB7" w14:textId="332387ED" w:rsidR="00056542" w:rsidRDefault="00B4622A" w:rsidP="00EC5283">
      <w:pPr>
        <w:pStyle w:val="BodyText"/>
      </w:pPr>
      <w:r w:rsidRPr="00EC5283">
        <w:lastRenderedPageBreak/>
        <w:t xml:space="preserve">For instance, </w:t>
      </w:r>
      <w:r w:rsidR="00CE2F8B">
        <w:fldChar w:fldCharType="begin"/>
      </w:r>
      <w:r w:rsidR="00CE2F8B">
        <w:instrText xml:space="preserve"> REF _Ref67652384 \h </w:instrText>
      </w:r>
      <w:r w:rsidR="00CE2F8B">
        <w:fldChar w:fldCharType="separate"/>
      </w:r>
      <w:r w:rsidR="00711D1F" w:rsidRPr="009B6F32">
        <w:t xml:space="preserve">Figure </w:t>
      </w:r>
      <w:r w:rsidR="00711D1F">
        <w:rPr>
          <w:noProof/>
        </w:rPr>
        <w:t>1</w:t>
      </w:r>
      <w:r w:rsidR="00CE2F8B">
        <w:fldChar w:fldCharType="end"/>
      </w:r>
      <w:r w:rsidR="00CE2F8B">
        <w:t xml:space="preserve"> </w:t>
      </w:r>
      <w:r w:rsidRPr="00EC5283">
        <w:t xml:space="preserve">illustrates a case where the UE is configured to monitor PDCCH candidates every </w:t>
      </w:r>
      <m:oMath>
        <m:r>
          <w:rPr>
            <w:rFonts w:ascii="Cambria Math" w:hAnsi="Cambria Math"/>
          </w:rPr>
          <m:t>N=4</m:t>
        </m:r>
      </m:oMath>
      <w:r w:rsidRPr="00EC5283" w:rsidDel="006A30B6">
        <w:t xml:space="preserve"> </w:t>
      </w:r>
      <w:r w:rsidRPr="00EC5283">
        <w:t>slots.</w:t>
      </w:r>
      <w:r w:rsidR="006A712B">
        <w:t xml:space="preserve"> </w:t>
      </w:r>
      <w:r w:rsidR="00676AFA">
        <w:t xml:space="preserve">In the illustration, </w:t>
      </w:r>
      <w:r w:rsidR="00697E8F" w:rsidRPr="00697E8F">
        <w:t xml:space="preserve">we assume </w:t>
      </w:r>
      <w:r w:rsidR="00697E8F">
        <w:t xml:space="preserve">the </w:t>
      </w:r>
      <w:r w:rsidR="00697E8F" w:rsidRPr="00697E8F">
        <w:t>UE</w:t>
      </w:r>
      <w:r w:rsidR="00697E8F">
        <w:t xml:space="preserve"> can</w:t>
      </w:r>
      <w:r w:rsidR="00697E8F" w:rsidRPr="00697E8F">
        <w:t xml:space="preserve"> support a </w:t>
      </w:r>
      <w:r w:rsidR="00B078C4">
        <w:t>4</w:t>
      </w:r>
      <w:r w:rsidR="00697E8F" w:rsidRPr="00697E8F">
        <w:t xml:space="preserve">-slot PDCCH processing capability of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 xml:space="preserve"> =U+C</m:t>
        </m:r>
      </m:oMath>
      <w:r w:rsidR="00697E8F" w:rsidRPr="00697E8F">
        <w:t>, which represents the total BD or CCE limit</w:t>
      </w:r>
      <w:r w:rsidR="000C3FB2">
        <w:t>s</w:t>
      </w:r>
      <w:r w:rsidR="008312CF">
        <w:t xml:space="preserve"> per </w:t>
      </w:r>
      <w:r w:rsidR="008312CF" w:rsidRPr="003D629D">
        <w:rPr>
          <w:i/>
          <w:iCs/>
        </w:rPr>
        <w:t>N</w:t>
      </w:r>
      <w:r w:rsidR="008312CF">
        <w:t xml:space="preserve"> slots</w:t>
      </w:r>
      <w:r w:rsidR="00697E8F" w:rsidRPr="00697E8F">
        <w:t xml:space="preserve">. </w:t>
      </w:r>
    </w:p>
    <w:p w14:paraId="11BC516D" w14:textId="0CC11993" w:rsidR="00571CDF" w:rsidRDefault="00571CDF" w:rsidP="00571CDF">
      <w:pPr>
        <w:pStyle w:val="BodyText"/>
        <w:numPr>
          <w:ilvl w:val="0"/>
          <w:numId w:val="29"/>
        </w:numPr>
      </w:pPr>
      <w:r>
        <w:t xml:space="preserve">The </w:t>
      </w:r>
      <w:r w:rsidRPr="00697E8F">
        <w:t xml:space="preserve">UE is configured </w:t>
      </w:r>
      <w:r>
        <w:t>to monitor</w:t>
      </w:r>
      <w:r w:rsidRPr="00697E8F">
        <w:t xml:space="preserve"> </w:t>
      </w:r>
      <w:r>
        <w:t xml:space="preserve">USS </w:t>
      </w:r>
      <w:r w:rsidRPr="00697E8F">
        <w:t xml:space="preserve">with periodicity of </w:t>
      </w:r>
      <w:r>
        <w:t>4</w:t>
      </w:r>
      <w:r w:rsidRPr="00697E8F">
        <w:t xml:space="preserve"> slots and the required number of BD/CCEs in each </w:t>
      </w:r>
      <w:r>
        <w:t xml:space="preserve">USS </w:t>
      </w:r>
      <w:r w:rsidR="00700962">
        <w:t xml:space="preserve">monitoring occasion </w:t>
      </w:r>
      <w:r w:rsidRPr="00697E8F">
        <w:t xml:space="preserve">is denoted by </w:t>
      </w:r>
      <m:oMath>
        <m:r>
          <w:rPr>
            <w:rFonts w:ascii="Cambria Math" w:hAnsi="Cambria Math"/>
          </w:rPr>
          <m:t>U</m:t>
        </m:r>
      </m:oMath>
    </w:p>
    <w:p w14:paraId="7077EDE2" w14:textId="5B081B24" w:rsidR="00512A74" w:rsidRDefault="000C3FB2" w:rsidP="00056542">
      <w:pPr>
        <w:pStyle w:val="BodyText"/>
        <w:numPr>
          <w:ilvl w:val="0"/>
          <w:numId w:val="29"/>
        </w:numPr>
      </w:pPr>
      <w:r>
        <w:t xml:space="preserve">The </w:t>
      </w:r>
      <w:r w:rsidR="00697E8F" w:rsidRPr="00697E8F">
        <w:t xml:space="preserve">UE is configured </w:t>
      </w:r>
      <w:r w:rsidR="00C3519E">
        <w:t>to monitor</w:t>
      </w:r>
      <w:r w:rsidR="00697E8F" w:rsidRPr="00697E8F">
        <w:t xml:space="preserve"> CSS with periodicity of </w:t>
      </w:r>
      <w:r w:rsidR="002B6213">
        <w:t>4</w:t>
      </w:r>
      <w:r w:rsidR="00697E8F" w:rsidRPr="00697E8F">
        <w:t xml:space="preserve"> slots and the required number of BD/CCEs in each </w:t>
      </w:r>
      <w:r w:rsidR="00C3519E">
        <w:t xml:space="preserve">CSS </w:t>
      </w:r>
      <w:r w:rsidR="00700962">
        <w:t>monitoring occasion</w:t>
      </w:r>
      <w:r w:rsidR="00697E8F" w:rsidRPr="00697E8F">
        <w:t xml:space="preserve"> is denoted by </w:t>
      </w:r>
      <m:oMath>
        <m:r>
          <w:rPr>
            <w:rFonts w:ascii="Cambria Math" w:hAnsi="Cambria Math"/>
          </w:rPr>
          <m:t>C</m:t>
        </m:r>
      </m:oMath>
      <w:r w:rsidR="00697E8F" w:rsidRPr="00697E8F">
        <w:t xml:space="preserve">. </w:t>
      </w:r>
    </w:p>
    <w:p w14:paraId="2FF386B1" w14:textId="57900B42" w:rsidR="00E054CA" w:rsidRDefault="007C06BA" w:rsidP="006F356A">
      <w:pPr>
        <w:pStyle w:val="BodyText"/>
        <w:spacing w:before="120"/>
      </w:pPr>
      <w:r w:rsidRPr="007C06BA">
        <w:rPr>
          <w:noProof/>
        </w:rPr>
        <w:drawing>
          <wp:inline distT="0" distB="0" distL="0" distR="0" wp14:anchorId="4E668BC6" wp14:editId="28D2C9AB">
            <wp:extent cx="6120765" cy="573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573405"/>
                    </a:xfrm>
                    <a:prstGeom prst="rect">
                      <a:avLst/>
                    </a:prstGeom>
                    <a:noFill/>
                    <a:ln>
                      <a:noFill/>
                    </a:ln>
                  </pic:spPr>
                </pic:pic>
              </a:graphicData>
            </a:graphic>
          </wp:inline>
        </w:drawing>
      </w:r>
    </w:p>
    <w:p w14:paraId="13078248" w14:textId="7C14CBA8" w:rsidR="00B4622A" w:rsidRPr="009B6F32" w:rsidRDefault="00B4622A" w:rsidP="009E0103">
      <w:pPr>
        <w:pStyle w:val="TF"/>
        <w:jc w:val="both"/>
        <w:rPr>
          <w:lang w:val="en-US"/>
        </w:rPr>
      </w:pPr>
      <w:bookmarkStart w:id="4" w:name="_Ref67652384"/>
      <w:r w:rsidRPr="009B6F32">
        <w:rPr>
          <w:lang w:val="en-US"/>
        </w:rPr>
        <w:t xml:space="preserve">Figure </w:t>
      </w:r>
      <w:r w:rsidRPr="009B6F32">
        <w:rPr>
          <w:lang w:val="en-US"/>
        </w:rPr>
        <w:fldChar w:fldCharType="begin"/>
      </w:r>
      <w:r>
        <w:instrText xml:space="preserve"> SEQ Figure \* ARABIC </w:instrText>
      </w:r>
      <w:r w:rsidRPr="009B6F32">
        <w:rPr>
          <w:lang w:val="en-US"/>
        </w:rPr>
        <w:fldChar w:fldCharType="separate"/>
      </w:r>
      <w:r w:rsidR="00711D1F">
        <w:rPr>
          <w:noProof/>
        </w:rPr>
        <w:t>1</w:t>
      </w:r>
      <w:r w:rsidRPr="009B6F32">
        <w:rPr>
          <w:lang w:val="en-US"/>
        </w:rPr>
        <w:fldChar w:fldCharType="end"/>
      </w:r>
      <w:bookmarkEnd w:id="4"/>
      <w:r w:rsidRPr="009B6F32">
        <w:rPr>
          <w:lang w:val="en-US"/>
        </w:rPr>
        <w:t xml:space="preserve">: </w:t>
      </w:r>
      <w:r>
        <w:rPr>
          <w:lang w:val="en-US"/>
        </w:rPr>
        <w:t>M</w:t>
      </w:r>
      <w:r w:rsidRPr="009B6F32">
        <w:rPr>
          <w:lang w:val="en-US"/>
        </w:rPr>
        <w:t xml:space="preserve">ulti-slot PDCCH monitoring </w:t>
      </w:r>
      <w:r>
        <w:rPr>
          <w:lang w:val="en-US"/>
        </w:rPr>
        <w:t xml:space="preserve">from </w:t>
      </w:r>
      <w:r w:rsidRPr="000D7863">
        <w:rPr>
          <w:u w:val="single"/>
          <w:lang w:val="en-US"/>
        </w:rPr>
        <w:t>UE’s point of view</w:t>
      </w:r>
      <w:r>
        <w:rPr>
          <w:lang w:val="en-US"/>
        </w:rPr>
        <w:t>.</w:t>
      </w:r>
      <w:r w:rsidR="009E0103">
        <w:rPr>
          <w:lang w:val="en-US"/>
        </w:rPr>
        <w:t xml:space="preserve"> </w:t>
      </w:r>
      <w:r w:rsidR="009E0103" w:rsidRPr="00697E8F">
        <w:t xml:space="preserve">The height of an </w:t>
      </w:r>
      <w:r w:rsidR="00700962">
        <w:t>monitoring occasion</w:t>
      </w:r>
      <w:r w:rsidR="009E0103" w:rsidRPr="00697E8F">
        <w:t xml:space="preserve"> represents the required processing load.</w:t>
      </w:r>
    </w:p>
    <w:p w14:paraId="7DA018B3" w14:textId="2C83EFE1" w:rsidR="00775850" w:rsidRDefault="00BD0FD1" w:rsidP="00365D42">
      <w:pPr>
        <w:pStyle w:val="BodyText"/>
      </w:pPr>
      <w:r>
        <w:t>However, i</w:t>
      </w:r>
      <w:r w:rsidR="00365D42" w:rsidRPr="00EC515B">
        <w:t xml:space="preserve">t is important to simultaneously consider both UE capability and </w:t>
      </w:r>
      <w:proofErr w:type="spellStart"/>
      <w:r w:rsidR="00365D42" w:rsidRPr="00EC515B">
        <w:t>gNB</w:t>
      </w:r>
      <w:proofErr w:type="spellEnd"/>
      <w:r w:rsidR="00E054CA">
        <w:t>/network</w:t>
      </w:r>
      <w:r w:rsidR="00365D42" w:rsidRPr="00EC515B">
        <w:t xml:space="preserve"> scheduling flexibility. What is needed from a </w:t>
      </w:r>
      <w:proofErr w:type="spellStart"/>
      <w:r w:rsidR="00365D42" w:rsidRPr="00EC515B">
        <w:t>gNB</w:t>
      </w:r>
      <w:proofErr w:type="spellEnd"/>
      <w:r w:rsidR="00365D42" w:rsidRPr="00EC515B">
        <w:t xml:space="preserve"> point of view is to be able to </w:t>
      </w:r>
      <w:r w:rsidR="00365D42" w:rsidRPr="00775850">
        <w:rPr>
          <w:u w:val="single"/>
        </w:rPr>
        <w:t xml:space="preserve">stagger USSs for different </w:t>
      </w:r>
      <w:r w:rsidR="0029677A" w:rsidRPr="00775850">
        <w:rPr>
          <w:u w:val="single"/>
        </w:rPr>
        <w:t>UEs</w:t>
      </w:r>
      <w:r w:rsidR="00365D42" w:rsidRPr="00775850">
        <w:rPr>
          <w:u w:val="single"/>
        </w:rPr>
        <w:t xml:space="preserve"> in different slots</w:t>
      </w:r>
      <w:r w:rsidR="00365D42" w:rsidRPr="00EC515B">
        <w:t xml:space="preserve">, recognizing that a slot containing CSS is common for all users. In this sense, a multi-slot BD/CCE budget should be able to be spread across the slots of the multi-slot span. </w:t>
      </w:r>
      <w:r w:rsidR="00F637BE">
        <w:t xml:space="preserve">This is illustrated in </w:t>
      </w:r>
      <w:r w:rsidR="00775850">
        <w:t xml:space="preserve">in </w:t>
      </w:r>
      <w:r w:rsidR="00775850">
        <w:fldChar w:fldCharType="begin"/>
      </w:r>
      <w:r w:rsidR="00775850">
        <w:instrText xml:space="preserve"> REF _Ref67390323 \h </w:instrText>
      </w:r>
      <w:r w:rsidR="00775850">
        <w:fldChar w:fldCharType="separate"/>
      </w:r>
      <w:r w:rsidR="00711D1F" w:rsidRPr="009B6F32">
        <w:t xml:space="preserve">Figure </w:t>
      </w:r>
      <w:r w:rsidR="00711D1F">
        <w:rPr>
          <w:noProof/>
        </w:rPr>
        <w:t>2</w:t>
      </w:r>
      <w:r w:rsidR="00775850">
        <w:fldChar w:fldCharType="end"/>
      </w:r>
      <w:r w:rsidR="00775850">
        <w:t>.</w:t>
      </w:r>
      <w:r w:rsidR="00D81CED">
        <w:t xml:space="preserve"> </w:t>
      </w:r>
    </w:p>
    <w:p w14:paraId="6573BD53" w14:textId="769D68A2" w:rsidR="00802F5D" w:rsidRDefault="00802F5D" w:rsidP="00802F5D">
      <w:pPr>
        <w:pStyle w:val="BodyText"/>
        <w:numPr>
          <w:ilvl w:val="0"/>
          <w:numId w:val="29"/>
        </w:numPr>
      </w:pPr>
      <w:r>
        <w:t xml:space="preserve">Regular </w:t>
      </w:r>
      <w:r w:rsidRPr="00697E8F">
        <w:t>UE</w:t>
      </w:r>
      <w:r>
        <w:t>1 and UE</w:t>
      </w:r>
      <w:r w:rsidR="00B7455D">
        <w:t>2</w:t>
      </w:r>
      <w:r w:rsidRPr="00697E8F">
        <w:t xml:space="preserve"> </w:t>
      </w:r>
      <w:r>
        <w:t>are</w:t>
      </w:r>
      <w:r w:rsidRPr="00697E8F">
        <w:t xml:space="preserve"> configured </w:t>
      </w:r>
      <w:r>
        <w:t>to monitor</w:t>
      </w:r>
      <w:r w:rsidRPr="00697E8F">
        <w:t xml:space="preserve"> </w:t>
      </w:r>
      <w:r>
        <w:t xml:space="preserve">USS </w:t>
      </w:r>
      <w:r w:rsidRPr="00697E8F">
        <w:t xml:space="preserve">with periodicity of </w:t>
      </w:r>
      <w:r>
        <w:t>4</w:t>
      </w:r>
      <w:r w:rsidRPr="00697E8F">
        <w:t xml:space="preserve"> slots and the required number of BD/CCEs in each </w:t>
      </w:r>
      <w:r>
        <w:t xml:space="preserve">USS </w:t>
      </w:r>
      <w:r w:rsidR="00700962">
        <w:t>monitoring occasion</w:t>
      </w:r>
      <w:r w:rsidRPr="00697E8F">
        <w:t xml:space="preserve"> is denoted by </w:t>
      </w:r>
      <m:oMath>
        <m:r>
          <w:rPr>
            <w:rFonts w:ascii="Cambria Math" w:hAnsi="Cambria Math"/>
          </w:rPr>
          <m:t>U</m:t>
        </m:r>
      </m:oMath>
      <w:r w:rsidRPr="00697E8F">
        <w:t>.</w:t>
      </w:r>
      <w:r>
        <w:t xml:space="preserve"> While the CSS monitoring occasions are common to all UEs, </w:t>
      </w:r>
      <w:r w:rsidRPr="000D37C0">
        <w:rPr>
          <w:u w:val="single"/>
        </w:rPr>
        <w:t>the USS monitoring occasions for different UEs need not be aligned</w:t>
      </w:r>
      <w:r>
        <w:t>.</w:t>
      </w:r>
      <w:r w:rsidR="00FC6A4A" w:rsidRPr="00FC6A4A">
        <w:t xml:space="preserve"> </w:t>
      </w:r>
      <w:r w:rsidR="00FC6A4A">
        <w:t xml:space="preserve">Each UE is still required to </w:t>
      </w:r>
      <w:r w:rsidR="00FC6A4A" w:rsidRPr="00697E8F">
        <w:t xml:space="preserve">support a </w:t>
      </w:r>
      <w:r w:rsidR="00FC6A4A">
        <w:t xml:space="preserve">total </w:t>
      </w:r>
      <w:r w:rsidR="00B078C4">
        <w:t>4</w:t>
      </w:r>
      <w:r w:rsidR="00FC6A4A" w:rsidRPr="00697E8F">
        <w:t xml:space="preserve">-slot PDCCH processing </w:t>
      </w:r>
      <w:r w:rsidR="00FC6A4A">
        <w:t xml:space="preserve">load </w:t>
      </w:r>
      <w:r w:rsidR="00FC6A4A" w:rsidRPr="00697E8F">
        <w:t>of</w:t>
      </w:r>
      <w:r w:rsidR="0001426D">
        <w:t xml:space="preserve"> no more than</w:t>
      </w:r>
      <w:r w:rsidR="00FC6A4A" w:rsidRPr="00697E8F">
        <w:t xml:space="preserve">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 xml:space="preserve"> =U+C</m:t>
        </m:r>
      </m:oMath>
      <w:r w:rsidR="00FC6A4A">
        <w:t>.</w:t>
      </w:r>
    </w:p>
    <w:p w14:paraId="59623355" w14:textId="520B9ACB" w:rsidR="00ED28FE" w:rsidRDefault="003474E0" w:rsidP="00365D42">
      <w:pPr>
        <w:pStyle w:val="BodyText"/>
      </w:pPr>
      <w:r>
        <w:t>Furthermore, for application</w:t>
      </w:r>
      <w:r w:rsidR="004B72E1">
        <w:t xml:space="preserve">s requiring lower latency, it possible to </w:t>
      </w:r>
      <w:r w:rsidR="00BF2052">
        <w:t xml:space="preserve">configure more frequent PDCCH monitoring </w:t>
      </w:r>
      <w:r w:rsidR="00ED28FE">
        <w:t>for these UEs</w:t>
      </w:r>
      <w:r w:rsidR="008D18AD">
        <w:t xml:space="preserve"> while leaving other UEs at less frequent monitoring periodicities. </w:t>
      </w:r>
      <w:r w:rsidR="002212F6">
        <w:t xml:space="preserve">One example is </w:t>
      </w:r>
      <w:r w:rsidR="00037FD3">
        <w:t xml:space="preserve">also </w:t>
      </w:r>
      <w:r w:rsidR="002212F6">
        <w:t xml:space="preserve">illustrated in </w:t>
      </w:r>
      <w:r w:rsidR="003963E6">
        <w:fldChar w:fldCharType="begin"/>
      </w:r>
      <w:r w:rsidR="003963E6">
        <w:instrText xml:space="preserve"> REF _Ref67390323 \h </w:instrText>
      </w:r>
      <w:r w:rsidR="003963E6">
        <w:fldChar w:fldCharType="separate"/>
      </w:r>
      <w:r w:rsidR="00711D1F" w:rsidRPr="009B6F32">
        <w:t xml:space="preserve">Figure </w:t>
      </w:r>
      <w:r w:rsidR="00711D1F">
        <w:rPr>
          <w:noProof/>
        </w:rPr>
        <w:t>2</w:t>
      </w:r>
      <w:r w:rsidR="003963E6">
        <w:fldChar w:fldCharType="end"/>
      </w:r>
      <w:r w:rsidR="002212F6">
        <w:t>.</w:t>
      </w:r>
      <w:r w:rsidR="00F2001A">
        <w:t xml:space="preserve"> </w:t>
      </w:r>
    </w:p>
    <w:p w14:paraId="3DB51C0C" w14:textId="706293BE" w:rsidR="00FA2CE5" w:rsidRDefault="00FA2CE5" w:rsidP="00FA2CE5">
      <w:pPr>
        <w:pStyle w:val="BodyText"/>
        <w:numPr>
          <w:ilvl w:val="0"/>
          <w:numId w:val="29"/>
        </w:numPr>
      </w:pPr>
      <w:r>
        <w:t xml:space="preserve">Low-latency </w:t>
      </w:r>
      <w:r w:rsidRPr="00697E8F">
        <w:t>UE</w:t>
      </w:r>
      <w:r w:rsidR="00F47517">
        <w:t>3</w:t>
      </w:r>
      <w:r w:rsidRPr="00697E8F">
        <w:t xml:space="preserve"> </w:t>
      </w:r>
      <w:r w:rsidR="00F47517">
        <w:t xml:space="preserve">is </w:t>
      </w:r>
      <w:r w:rsidRPr="00697E8F">
        <w:t xml:space="preserve">configured </w:t>
      </w:r>
      <w:r>
        <w:t>to monitor</w:t>
      </w:r>
      <w:r w:rsidRPr="00697E8F">
        <w:t xml:space="preserve"> </w:t>
      </w:r>
      <w:r>
        <w:t xml:space="preserve">USS </w:t>
      </w:r>
      <w:r w:rsidRPr="00697E8F">
        <w:t xml:space="preserve">with periodicity of </w:t>
      </w:r>
      <w:r>
        <w:t>2</w:t>
      </w:r>
      <w:r w:rsidRPr="00697E8F">
        <w:t xml:space="preserve"> slots and the required number of BD/CCEs in each </w:t>
      </w:r>
      <w:r>
        <w:t xml:space="preserve">USS </w:t>
      </w:r>
      <w:r w:rsidR="00700962">
        <w:t>monitoring occasion</w:t>
      </w:r>
      <w:r w:rsidRPr="00697E8F">
        <w:t xml:space="preserve"> is denoted by </w:t>
      </w:r>
      <m:oMath>
        <m:r>
          <w:rPr>
            <w:rFonts w:ascii="Cambria Math" w:hAnsi="Cambria Math"/>
          </w:rPr>
          <m:t>U/2</m:t>
        </m:r>
      </m:oMath>
      <w:r w:rsidRPr="00697E8F">
        <w:t>.</w:t>
      </w:r>
      <w:r w:rsidR="006C296B">
        <w:t xml:space="preserve"> Hence, </w:t>
      </w:r>
      <w:r w:rsidR="00037FD3">
        <w:t xml:space="preserve">each UE is still assumed to </w:t>
      </w:r>
      <w:r w:rsidR="00037FD3" w:rsidRPr="00697E8F">
        <w:t xml:space="preserve">support a </w:t>
      </w:r>
      <w:r w:rsidR="00B078C4">
        <w:t>4</w:t>
      </w:r>
      <w:r w:rsidR="00037FD3" w:rsidRPr="00697E8F">
        <w:t>-slot PDCCH processing capability of</w:t>
      </w:r>
      <w:r w:rsidR="00CA6061">
        <w:t xml:space="preserve"> no more than</w:t>
      </w:r>
      <w:r w:rsidR="00037FD3" w:rsidRPr="00697E8F">
        <w:t xml:space="preserve">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 xml:space="preserve"> =U+C</m:t>
        </m:r>
      </m:oMath>
      <w:r w:rsidR="00037FD3">
        <w:t>.</w:t>
      </w:r>
    </w:p>
    <w:p w14:paraId="6801C6F5" w14:textId="748D25E1" w:rsidR="00FA2CE5" w:rsidRDefault="00FA2CE5" w:rsidP="00FA2CE5">
      <w:pPr>
        <w:pStyle w:val="BodyText"/>
        <w:numPr>
          <w:ilvl w:val="1"/>
          <w:numId w:val="29"/>
        </w:numPr>
      </w:pPr>
      <w:r>
        <w:t xml:space="preserve">By offsetting the low-latency UEs’ USS </w:t>
      </w:r>
      <w:r w:rsidR="00D47A99">
        <w:t xml:space="preserve">monitoring occasions </w:t>
      </w:r>
      <w:r>
        <w:t xml:space="preserve">away from those for the regular UEs, contention of PDCCH capacity </w:t>
      </w:r>
      <w:r w:rsidR="00FA5807">
        <w:t>and hashing collision</w:t>
      </w:r>
      <w:r w:rsidR="00F26162">
        <w:t>s</w:t>
      </w:r>
      <w:r w:rsidR="00FA5807">
        <w:t xml:space="preserve"> </w:t>
      </w:r>
      <w:r>
        <w:t>between the two types of UEs are avoid</w:t>
      </w:r>
      <w:r w:rsidR="00717ABC">
        <w:t>ed</w:t>
      </w:r>
      <w:r>
        <w:t>. This is helpful in terms of further reducing the latency for both types of UEs.</w:t>
      </w:r>
    </w:p>
    <w:p w14:paraId="2A7A4F74" w14:textId="7CFEC832" w:rsidR="0067147A" w:rsidRDefault="00FA2CE5" w:rsidP="0067147A">
      <w:pPr>
        <w:pStyle w:val="BodyText"/>
        <w:numPr>
          <w:ilvl w:val="1"/>
          <w:numId w:val="29"/>
        </w:numPr>
      </w:pPr>
      <w:r>
        <w:t xml:space="preserve">By not aligning the low-latency UEs’ USS </w:t>
      </w:r>
      <w:r w:rsidR="00D47A99">
        <w:t xml:space="preserve">monitoring occasions </w:t>
      </w:r>
      <w:r>
        <w:t xml:space="preserve">with the CSS </w:t>
      </w:r>
      <w:r w:rsidR="00D47A99">
        <w:t>monitoring occasions</w:t>
      </w:r>
      <w:r>
        <w:t>, the low-latency UE</w:t>
      </w:r>
      <w:r w:rsidR="0075366B">
        <w:t xml:space="preserve">3 </w:t>
      </w:r>
      <w:r>
        <w:t>effectively get</w:t>
      </w:r>
      <w:r w:rsidR="0075366B">
        <w:t>s</w:t>
      </w:r>
      <w:r>
        <w:t xml:space="preserve"> more frequent scheduling opportunities</w:t>
      </w:r>
      <w:r w:rsidR="00DB4B7C">
        <w:t xml:space="preserve">. </w:t>
      </w:r>
    </w:p>
    <w:p w14:paraId="3BAB978B" w14:textId="33F0730B" w:rsidR="00DC7982" w:rsidRDefault="0075366B" w:rsidP="00133FAE">
      <w:pPr>
        <w:pStyle w:val="BodyText"/>
        <w:numPr>
          <w:ilvl w:val="0"/>
          <w:numId w:val="29"/>
        </w:numPr>
      </w:pPr>
      <w:r>
        <w:t xml:space="preserve">Similarly, </w:t>
      </w:r>
      <w:r w:rsidR="00FA2CE5">
        <w:t>UE</w:t>
      </w:r>
      <w:r w:rsidR="00B7455D">
        <w:t>2</w:t>
      </w:r>
      <w:r w:rsidR="00FA2CE5">
        <w:t xml:space="preserve"> can be considered as a solution for UEs with medium latency requirements. </w:t>
      </w:r>
      <w:r w:rsidR="003B3F2F">
        <w:t xml:space="preserve">While </w:t>
      </w:r>
      <w:r w:rsidR="009F24ED">
        <w:t xml:space="preserve">the USS </w:t>
      </w:r>
      <w:r w:rsidR="00952AC4">
        <w:t xml:space="preserve">has a </w:t>
      </w:r>
      <w:r w:rsidR="009F24ED">
        <w:t xml:space="preserve">periodicity of 4, the UE can </w:t>
      </w:r>
      <w:r w:rsidR="008B6CD7">
        <w:t xml:space="preserve">in fact </w:t>
      </w:r>
      <w:r w:rsidR="009F24ED">
        <w:t xml:space="preserve">be scheduled </w:t>
      </w:r>
      <w:r w:rsidR="009B3B2C">
        <w:t>more frequently than that</w:t>
      </w:r>
      <w:r w:rsidR="00A972D3">
        <w:t xml:space="preserve"> when CSS is also considered</w:t>
      </w:r>
      <w:r w:rsidR="00344657">
        <w:t>.</w:t>
      </w:r>
      <w:r w:rsidR="0049101D">
        <w:t xml:space="preserve"> </w:t>
      </w:r>
    </w:p>
    <w:p w14:paraId="75307FA0" w14:textId="0386FAE1" w:rsidR="00EC18F6" w:rsidRDefault="00EC18F6" w:rsidP="00EC18F6">
      <w:pPr>
        <w:pStyle w:val="BodyText"/>
      </w:pPr>
      <w:r>
        <w:t xml:space="preserve">In summary, the flexibility </w:t>
      </w:r>
      <w:r w:rsidR="003279DE">
        <w:t xml:space="preserve">on the network level to distribute the </w:t>
      </w:r>
      <w:r w:rsidR="004630E1">
        <w:t xml:space="preserve">multi-slot </w:t>
      </w:r>
      <w:r w:rsidR="003279DE">
        <w:t xml:space="preserve">PDCCH processing capabilities of a UE </w:t>
      </w:r>
      <w:r w:rsidR="004630E1">
        <w:t xml:space="preserve">over multiple slots allows the network to optimize the </w:t>
      </w:r>
      <w:r w:rsidR="008D7413">
        <w:t>various requirements from different UEs and network in terms of capabilities, latency requirements</w:t>
      </w:r>
      <w:r w:rsidR="000F3C19">
        <w:t xml:space="preserve"> and PDCCH resource capacities.</w:t>
      </w:r>
    </w:p>
    <w:p w14:paraId="16470E48" w14:textId="2C5A0447" w:rsidR="009A2C3F" w:rsidRPr="00816A8F" w:rsidRDefault="00886A27" w:rsidP="00816A8F">
      <w:pPr>
        <w:pStyle w:val="BodyText"/>
        <w:spacing w:before="120"/>
      </w:pPr>
      <w:r w:rsidRPr="00886A27">
        <w:rPr>
          <w:noProof/>
        </w:rPr>
        <w:lastRenderedPageBreak/>
        <w:drawing>
          <wp:inline distT="0" distB="0" distL="0" distR="0" wp14:anchorId="0BCAAA0F" wp14:editId="42553086">
            <wp:extent cx="6120765" cy="21424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142490"/>
                    </a:xfrm>
                    <a:prstGeom prst="rect">
                      <a:avLst/>
                    </a:prstGeom>
                    <a:noFill/>
                    <a:ln>
                      <a:noFill/>
                    </a:ln>
                  </pic:spPr>
                </pic:pic>
              </a:graphicData>
            </a:graphic>
          </wp:inline>
        </w:drawing>
      </w:r>
    </w:p>
    <w:p w14:paraId="24E3B22D" w14:textId="57134762" w:rsidR="005040FB" w:rsidRPr="009B6F32" w:rsidRDefault="005040FB" w:rsidP="00595552">
      <w:pPr>
        <w:pStyle w:val="TF"/>
        <w:jc w:val="both"/>
        <w:rPr>
          <w:lang w:val="en-US"/>
        </w:rPr>
      </w:pPr>
      <w:bookmarkStart w:id="5" w:name="_Ref67390323"/>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711D1F">
        <w:rPr>
          <w:noProof/>
          <w:lang w:val="en-US"/>
        </w:rPr>
        <w:t>2</w:t>
      </w:r>
      <w:r w:rsidRPr="009B6F32">
        <w:rPr>
          <w:lang w:val="en-US"/>
        </w:rPr>
        <w:fldChar w:fldCharType="end"/>
      </w:r>
      <w:bookmarkEnd w:id="5"/>
      <w:r w:rsidRPr="009B6F32">
        <w:rPr>
          <w:lang w:val="en-US"/>
        </w:rPr>
        <w:t xml:space="preserve">: </w:t>
      </w:r>
      <w:r>
        <w:rPr>
          <w:lang w:val="en-US"/>
        </w:rPr>
        <w:t>M</w:t>
      </w:r>
      <w:r w:rsidRPr="009B6F32">
        <w:rPr>
          <w:lang w:val="en-US"/>
        </w:rPr>
        <w:t>ulti-slot PDCCH monitoring with</w:t>
      </w:r>
      <w:r w:rsidR="00596DC9">
        <w:rPr>
          <w:lang w:val="en-US"/>
        </w:rPr>
        <w:t xml:space="preserve"> </w:t>
      </w:r>
      <w:r w:rsidR="00596DC9" w:rsidRPr="00DF696D">
        <w:rPr>
          <w:u w:val="single"/>
          <w:lang w:val="en-US"/>
        </w:rPr>
        <w:t>mix of UEs</w:t>
      </w:r>
      <w:r w:rsidR="00596DC9">
        <w:rPr>
          <w:lang w:val="en-US"/>
        </w:rPr>
        <w:t xml:space="preserve"> with</w:t>
      </w:r>
      <w:r w:rsidRPr="009B6F32">
        <w:rPr>
          <w:lang w:val="en-US"/>
        </w:rPr>
        <w:t xml:space="preserve"> </w:t>
      </w:r>
      <w:r w:rsidR="00595552">
        <w:rPr>
          <w:lang w:val="en-US"/>
        </w:rPr>
        <w:t>more frequent monitoring and UEs with less frequent monitoring</w:t>
      </w:r>
      <w:r>
        <w:rPr>
          <w:lang w:val="en-US"/>
        </w:rPr>
        <w:t xml:space="preserve"> from </w:t>
      </w:r>
      <w:r>
        <w:rPr>
          <w:u w:val="single"/>
          <w:lang w:val="en-US"/>
        </w:rPr>
        <w:t>network</w:t>
      </w:r>
      <w:r w:rsidRPr="000D7863">
        <w:rPr>
          <w:u w:val="single"/>
          <w:lang w:val="en-US"/>
        </w:rPr>
        <w:t>’s point of view</w:t>
      </w:r>
      <w:r>
        <w:rPr>
          <w:lang w:val="en-US"/>
        </w:rPr>
        <w:t>.</w:t>
      </w:r>
      <w:r w:rsidR="007A497D">
        <w:rPr>
          <w:lang w:val="en-US"/>
        </w:rPr>
        <w:t xml:space="preserve"> </w:t>
      </w:r>
      <w:r w:rsidR="007A497D" w:rsidRPr="00697E8F">
        <w:t xml:space="preserve">The height of an </w:t>
      </w:r>
      <w:r w:rsidR="00700962">
        <w:t>monitoring occasion</w:t>
      </w:r>
      <w:r w:rsidR="007A497D" w:rsidRPr="00697E8F">
        <w:t xml:space="preserve"> represents the required processing load.</w:t>
      </w:r>
    </w:p>
    <w:p w14:paraId="6B9D89CB" w14:textId="20800C02" w:rsidR="000D7863" w:rsidRDefault="006E6F5F" w:rsidP="000C0CF8">
      <w:pPr>
        <w:rPr>
          <w:lang w:val="en-GB" w:eastAsia="ja-JP"/>
        </w:rPr>
      </w:pPr>
      <w:r>
        <w:rPr>
          <w:lang w:val="en-GB" w:eastAsia="ja-JP"/>
        </w:rPr>
        <w:t>Based on the above discussion, we propose</w:t>
      </w:r>
    </w:p>
    <w:p w14:paraId="2A99F215" w14:textId="710CEF7F" w:rsidR="003A6C6C" w:rsidRPr="00527D78" w:rsidRDefault="00CD056E" w:rsidP="003A6C6C">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6" w:name="_Toc68183792"/>
      <w:r>
        <w:rPr>
          <w:rFonts w:cs="Arial"/>
          <w:szCs w:val="20"/>
          <w:lang w:eastAsia="x-none"/>
        </w:rPr>
        <w:t xml:space="preserve">Solutions to support </w:t>
      </w:r>
      <w:r w:rsidRPr="00100C85">
        <w:rPr>
          <w:rFonts w:cs="Arial"/>
          <w:szCs w:val="20"/>
          <w:lang w:eastAsia="x-none"/>
        </w:rPr>
        <w:t>multi-slot PDCCH monitoring</w:t>
      </w:r>
      <w:r>
        <w:rPr>
          <w:rFonts w:cs="Arial"/>
          <w:szCs w:val="20"/>
          <w:lang w:eastAsia="x-none"/>
        </w:rPr>
        <w:t xml:space="preserve"> for Rel-17 NR should consider </w:t>
      </w:r>
      <w:r w:rsidR="00F71995">
        <w:rPr>
          <w:rFonts w:cs="Arial"/>
          <w:szCs w:val="20"/>
          <w:lang w:eastAsia="x-none"/>
        </w:rPr>
        <w:t xml:space="preserve">the benefits and impacts to both UEs and </w:t>
      </w:r>
      <w:proofErr w:type="spellStart"/>
      <w:r w:rsidR="00F71995">
        <w:rPr>
          <w:rFonts w:cs="Arial"/>
          <w:szCs w:val="20"/>
          <w:lang w:eastAsia="x-none"/>
        </w:rPr>
        <w:t>gNBs</w:t>
      </w:r>
      <w:proofErr w:type="spellEnd"/>
      <w:r w:rsidR="003A6C6C">
        <w:rPr>
          <w:rFonts w:eastAsiaTheme="minorEastAsia"/>
        </w:rPr>
        <w:t>.</w:t>
      </w:r>
      <w:r w:rsidR="002765CF">
        <w:rPr>
          <w:rFonts w:eastAsiaTheme="minorEastAsia"/>
        </w:rPr>
        <w:t xml:space="preserve"> The solutions shall allow the network to distribute the </w:t>
      </w:r>
      <w:r w:rsidR="002765CF" w:rsidRPr="00100C85">
        <w:rPr>
          <w:rFonts w:cs="Arial"/>
          <w:szCs w:val="20"/>
          <w:lang w:eastAsia="x-none"/>
        </w:rPr>
        <w:t xml:space="preserve">multi-slot </w:t>
      </w:r>
      <w:r w:rsidR="002765CF">
        <w:rPr>
          <w:rFonts w:eastAsiaTheme="minorEastAsia"/>
        </w:rPr>
        <w:t xml:space="preserve">PDCCH monitoring/processing loads for different types of UEs </w:t>
      </w:r>
      <w:r w:rsidR="00820943">
        <w:rPr>
          <w:rFonts w:eastAsiaTheme="minorEastAsia"/>
        </w:rPr>
        <w:t>flexibly across the multiple slots.</w:t>
      </w:r>
      <w:bookmarkEnd w:id="6"/>
    </w:p>
    <w:p w14:paraId="447E9922" w14:textId="109EE0D2" w:rsidR="00F774E0" w:rsidRDefault="00F774E0" w:rsidP="00416521">
      <w:pPr>
        <w:pStyle w:val="BodyText"/>
      </w:pPr>
    </w:p>
    <w:p w14:paraId="169DF7C7" w14:textId="195ECCB8" w:rsidR="00B6530E" w:rsidRDefault="00B6530E" w:rsidP="00B6530E">
      <w:pPr>
        <w:pStyle w:val="Heading2"/>
      </w:pPr>
      <w:bookmarkStart w:id="7" w:name="_Toc67653040"/>
      <w:r>
        <w:t>2.</w:t>
      </w:r>
      <w:r w:rsidR="00E9206F">
        <w:t>2</w:t>
      </w:r>
      <w:r>
        <w:tab/>
      </w:r>
      <w:r w:rsidR="00AA50C0">
        <w:t xml:space="preserve">Alternatives </w:t>
      </w:r>
      <w:r w:rsidR="00354F11">
        <w:t xml:space="preserve">for </w:t>
      </w:r>
      <w:r w:rsidR="00AA50C0">
        <w:t xml:space="preserve">defining </w:t>
      </w:r>
      <w:r>
        <w:t>UE multi-slot PDCCH processing capabilities</w:t>
      </w:r>
      <w:bookmarkEnd w:id="7"/>
    </w:p>
    <w:p w14:paraId="2E66CF95" w14:textId="692C2ED7" w:rsidR="00755291" w:rsidRDefault="00755291" w:rsidP="00755291">
      <w:pPr>
        <w:pStyle w:val="BodyText"/>
      </w:pPr>
      <w:r>
        <w:t xml:space="preserve">In the current specs for </w:t>
      </w:r>
      <w:r w:rsidR="009F2E7C">
        <w:t>every-slot PDCCH monitoring</w:t>
      </w:r>
      <w:r>
        <w:t xml:space="preserve">, 3 cases for SS set configuration within a slot are supported by parameter </w:t>
      </w:r>
      <w:proofErr w:type="spellStart"/>
      <w:r w:rsidRPr="00390B31">
        <w:rPr>
          <w:i/>
          <w:iCs/>
        </w:rPr>
        <w:t>monitoringSymbolsWithinSlot</w:t>
      </w:r>
      <w:proofErr w:type="spellEnd"/>
      <w:r w:rsidR="009F2E7C">
        <w:t>:</w:t>
      </w:r>
    </w:p>
    <w:p w14:paraId="3936452C" w14:textId="77777777" w:rsidR="00755291" w:rsidRDefault="00755291" w:rsidP="009F687E">
      <w:pPr>
        <w:pStyle w:val="BodyText"/>
        <w:numPr>
          <w:ilvl w:val="0"/>
          <w:numId w:val="28"/>
        </w:numPr>
        <w:contextualSpacing/>
      </w:pPr>
      <w:r>
        <w:t>Case 1: PDCCH monitoring of all SS sets monitored in a slot occurs within 3 consecutive OFDM symbols that have fixed positions in each slot</w:t>
      </w:r>
    </w:p>
    <w:p w14:paraId="72086BBE" w14:textId="77777777" w:rsidR="00755291" w:rsidRDefault="00755291" w:rsidP="009F687E">
      <w:pPr>
        <w:pStyle w:val="BodyText"/>
        <w:numPr>
          <w:ilvl w:val="1"/>
          <w:numId w:val="28"/>
        </w:numPr>
        <w:contextualSpacing/>
      </w:pPr>
      <w:r>
        <w:t>Case 1-1: PDCCH monitoring limited to within first three OFDM symbols of a slot</w:t>
      </w:r>
    </w:p>
    <w:p w14:paraId="481A5228" w14:textId="77777777" w:rsidR="00755291" w:rsidRDefault="00755291" w:rsidP="009F687E">
      <w:pPr>
        <w:pStyle w:val="BodyText"/>
        <w:numPr>
          <w:ilvl w:val="1"/>
          <w:numId w:val="28"/>
        </w:numPr>
        <w:contextualSpacing/>
      </w:pPr>
      <w:r>
        <w:t>Case 1-2: PDCCH monitoring on any span of up to 3 consecutive OFDM symbols of a slot</w:t>
      </w:r>
    </w:p>
    <w:p w14:paraId="34CEA55E" w14:textId="77777777" w:rsidR="00755291" w:rsidRDefault="00755291" w:rsidP="009F687E">
      <w:pPr>
        <w:pStyle w:val="BodyText"/>
        <w:numPr>
          <w:ilvl w:val="2"/>
          <w:numId w:val="28"/>
        </w:numPr>
      </w:pPr>
      <w:r>
        <w:t>For a given UE, all search space configurations are within the same span of 3 consecutive OFDM symbols in the slot</w:t>
      </w:r>
    </w:p>
    <w:p w14:paraId="76AAE302" w14:textId="2919AAC3" w:rsidR="00755291" w:rsidRDefault="00755291" w:rsidP="00755291">
      <w:pPr>
        <w:pStyle w:val="BodyText"/>
        <w:numPr>
          <w:ilvl w:val="0"/>
          <w:numId w:val="28"/>
        </w:numPr>
        <w:contextualSpacing/>
      </w:pPr>
      <w:r>
        <w:t>Case 2: PDCCH monitoring cases other than Case 1</w:t>
      </w:r>
    </w:p>
    <w:p w14:paraId="7529809B" w14:textId="0EE00AA2" w:rsidR="002563CA" w:rsidRDefault="002563CA" w:rsidP="003D629D">
      <w:pPr>
        <w:pStyle w:val="BodyText"/>
        <w:numPr>
          <w:ilvl w:val="1"/>
          <w:numId w:val="28"/>
        </w:numPr>
      </w:pPr>
      <w:r w:rsidRPr="002563CA">
        <w:t xml:space="preserve">PDCCH monitoring in any span of Y consecutive OFDM symbols (including crossing a slot boundary) as long as the span satisfies the (X,Y) capability of the UE, where X = </w:t>
      </w:r>
      <w:r w:rsidR="00B56BEE">
        <w:t>number</w:t>
      </w:r>
      <w:r w:rsidRPr="002563CA">
        <w:t xml:space="preserve"> of symbols between start</w:t>
      </w:r>
      <w:r w:rsidR="009F2693">
        <w:t>ing OFDM symbol of two consecutive spans</w:t>
      </w:r>
      <w:r w:rsidRPr="002563CA">
        <w:t>.</w:t>
      </w:r>
    </w:p>
    <w:p w14:paraId="7C8DB347" w14:textId="31D73BAF" w:rsidR="009E136B" w:rsidRDefault="00057EAB" w:rsidP="00416521">
      <w:pPr>
        <w:pStyle w:val="BodyText"/>
      </w:pPr>
      <w:r>
        <w:t xml:space="preserve">In designing the Rel-17 multi-slot PDCCH </w:t>
      </w:r>
      <w:r w:rsidR="00771FF5">
        <w:t xml:space="preserve">monitoring solutions, two aspects shall </w:t>
      </w:r>
      <w:r w:rsidR="00601D9A">
        <w:t xml:space="preserve">hence </w:t>
      </w:r>
      <w:r w:rsidR="00771FF5">
        <w:t xml:space="preserve">be </w:t>
      </w:r>
      <w:r w:rsidR="00E2529F">
        <w:t>addressed:</w:t>
      </w:r>
    </w:p>
    <w:p w14:paraId="6C57F3E1" w14:textId="3E9667A4" w:rsidR="009E136B" w:rsidRDefault="00746DCA" w:rsidP="00746DCA">
      <w:pPr>
        <w:pStyle w:val="BodyText"/>
        <w:numPr>
          <w:ilvl w:val="0"/>
          <w:numId w:val="30"/>
        </w:numPr>
      </w:pPr>
      <w:r>
        <w:t>In which slot(s) of a multi-slot span shall PDCCH be monitored?</w:t>
      </w:r>
    </w:p>
    <w:p w14:paraId="3A7B9721" w14:textId="57F8E11E" w:rsidR="00E2529F" w:rsidRDefault="00DD28B0" w:rsidP="00746DCA">
      <w:pPr>
        <w:pStyle w:val="BodyText"/>
        <w:numPr>
          <w:ilvl w:val="0"/>
          <w:numId w:val="30"/>
        </w:numPr>
      </w:pPr>
      <w:r>
        <w:t>In which OFDM symbols of a monitored slot shall PDCCH be monitored?</w:t>
      </w:r>
    </w:p>
    <w:p w14:paraId="2990C65E" w14:textId="6252BA4D" w:rsidR="002A2ABF" w:rsidRPr="00EC515B" w:rsidRDefault="00E2529F" w:rsidP="002A2ABF">
      <w:pPr>
        <w:pStyle w:val="BodyText"/>
      </w:pPr>
      <w:r>
        <w:t xml:space="preserve">It should be emphasized these two aspects need to be </w:t>
      </w:r>
      <w:r w:rsidR="00746DCA">
        <w:t xml:space="preserve">addressed </w:t>
      </w:r>
      <w:r>
        <w:t xml:space="preserve">jointly </w:t>
      </w:r>
      <w:r w:rsidR="00746DCA">
        <w:t>for a prospective solution.</w:t>
      </w:r>
      <w:r w:rsidR="002A2ABF">
        <w:t xml:space="preserve"> </w:t>
      </w:r>
      <w:r w:rsidR="002A2ABF" w:rsidRPr="00EC515B">
        <w:t>For example</w:t>
      </w:r>
      <w:r w:rsidR="00101F97">
        <w:t>,</w:t>
      </w:r>
      <w:r w:rsidR="002A2ABF" w:rsidRPr="00EC515B">
        <w:t xml:space="preserve"> if a solution is adopted whereby all monitoring is concentrated within a single slot of an N-slot bundle (not our preference), then </w:t>
      </w:r>
      <w:r w:rsidR="00281FC3">
        <w:t xml:space="preserve">there </w:t>
      </w:r>
      <w:r w:rsidR="002A2ABF" w:rsidRPr="00EC515B">
        <w:t>need</w:t>
      </w:r>
      <w:r w:rsidR="008312CF">
        <w:t>s</w:t>
      </w:r>
      <w:r w:rsidR="00281FC3">
        <w:t xml:space="preserve"> to be </w:t>
      </w:r>
      <w:r w:rsidR="002A2ABF" w:rsidRPr="00EC515B">
        <w:t xml:space="preserve">flexibility to configure USS and CSS in different spans within </w:t>
      </w:r>
      <w:r w:rsidR="00281FC3">
        <w:t>the</w:t>
      </w:r>
      <w:r w:rsidR="002A2ABF" w:rsidRPr="00EC515B">
        <w:t xml:space="preserve"> slot</w:t>
      </w:r>
      <w:r w:rsidR="00281FC3">
        <w:t xml:space="preserve">. For such </w:t>
      </w:r>
      <w:r w:rsidR="00101F97">
        <w:t>a solution C</w:t>
      </w:r>
      <w:r w:rsidR="002A2ABF" w:rsidRPr="00EC515B">
        <w:t xml:space="preserve">ase 1-1 would be far too restrictive. </w:t>
      </w:r>
      <w:r w:rsidR="00101F97">
        <w:t xml:space="preserve">On the other hand, if </w:t>
      </w:r>
      <w:r w:rsidR="002A2ABF" w:rsidRPr="00EC515B">
        <w:t>there is network flexibility to configure a UE to monitor in different slots of an N-slot bundle (e.g., CSS and USS in different slots), then case 1-1</w:t>
      </w:r>
      <w:r w:rsidR="002D2441">
        <w:t xml:space="preserve"> and/or 1-2</w:t>
      </w:r>
      <w:r w:rsidR="002A2ABF" w:rsidRPr="00EC515B">
        <w:t xml:space="preserve"> would probably be sufficient.</w:t>
      </w:r>
    </w:p>
    <w:p w14:paraId="01FE4876" w14:textId="52C3D1A8" w:rsidR="00EA3D59" w:rsidRDefault="00EA3D59" w:rsidP="00EA3D59">
      <w:pPr>
        <w:pStyle w:val="BodyText"/>
      </w:pPr>
      <w:r>
        <w:t xml:space="preserve">Based on the discussion on PDCCH monitoring capability enhancements, three </w:t>
      </w:r>
      <w:r w:rsidR="00D217E3">
        <w:t xml:space="preserve">alternative solutions were selected for further </w:t>
      </w:r>
      <w:r w:rsidR="00396D18">
        <w:t>study</w:t>
      </w:r>
      <w:r w:rsidR="00D217E3">
        <w:t xml:space="preserve"> </w:t>
      </w:r>
      <w:r>
        <w:t>in RAN1 #104-e:</w:t>
      </w:r>
    </w:p>
    <w:p w14:paraId="1C00340F" w14:textId="4145C335" w:rsidR="00EA3D59" w:rsidRPr="00100C85" w:rsidRDefault="00EA3D59" w:rsidP="00CE0733">
      <w:pPr>
        <w:pStyle w:val="ListParagraph"/>
        <w:numPr>
          <w:ilvl w:val="0"/>
          <w:numId w:val="27"/>
        </w:numPr>
        <w:snapToGrid w:val="0"/>
        <w:spacing w:after="120"/>
        <w:rPr>
          <w:rFonts w:ascii="Arial" w:hAnsi="Arial" w:cs="Arial"/>
          <w:sz w:val="20"/>
          <w:szCs w:val="20"/>
        </w:rPr>
      </w:pPr>
      <w:r w:rsidRPr="00100C85">
        <w:rPr>
          <w:rFonts w:ascii="Arial" w:hAnsi="Arial" w:cs="Arial"/>
          <w:sz w:val="20"/>
          <w:szCs w:val="20"/>
        </w:rPr>
        <w:t>Alt 1: A fixed pattern of N</w:t>
      </w:r>
      <w:r w:rsidR="00516D47">
        <w:rPr>
          <w:rFonts w:ascii="Arial" w:hAnsi="Arial" w:cs="Arial"/>
          <w:sz w:val="20"/>
          <w:szCs w:val="20"/>
          <w:lang w:val="en-US"/>
        </w:rPr>
        <w:t>-</w:t>
      </w:r>
      <w:r w:rsidRPr="00100C85">
        <w:rPr>
          <w:rFonts w:ascii="Arial" w:hAnsi="Arial" w:cs="Arial"/>
          <w:sz w:val="20"/>
          <w:szCs w:val="20"/>
        </w:rPr>
        <w:t>slot</w:t>
      </w:r>
      <w:r w:rsidR="00516D47">
        <w:rPr>
          <w:rFonts w:ascii="Arial" w:hAnsi="Arial" w:cs="Arial"/>
          <w:sz w:val="20"/>
          <w:szCs w:val="20"/>
          <w:lang w:val="en-US"/>
        </w:rPr>
        <w:t xml:space="preserve"> groups</w:t>
      </w:r>
      <w:r w:rsidRPr="00100C85">
        <w:rPr>
          <w:rFonts w:ascii="Arial" w:hAnsi="Arial" w:cs="Arial"/>
          <w:sz w:val="20"/>
          <w:szCs w:val="20"/>
        </w:rPr>
        <w:t xml:space="preserve">. </w:t>
      </w:r>
    </w:p>
    <w:p w14:paraId="4ED9D1D4" w14:textId="77777777" w:rsidR="00EA3D59" w:rsidRPr="00100C85" w:rsidRDefault="00EA3D59" w:rsidP="00CE0733">
      <w:pPr>
        <w:pStyle w:val="ListParagraph"/>
        <w:numPr>
          <w:ilvl w:val="0"/>
          <w:numId w:val="27"/>
        </w:numPr>
        <w:snapToGrid w:val="0"/>
        <w:spacing w:after="120"/>
        <w:rPr>
          <w:rFonts w:ascii="Arial" w:hAnsi="Arial" w:cs="Arial"/>
          <w:sz w:val="20"/>
          <w:szCs w:val="20"/>
        </w:rPr>
      </w:pPr>
      <w:r w:rsidRPr="00100C85">
        <w:rPr>
          <w:rFonts w:ascii="Arial" w:hAnsi="Arial" w:cs="Arial"/>
          <w:sz w:val="20"/>
          <w:szCs w:val="20"/>
        </w:rPr>
        <w:t>Alt 2: Use the Rel-16 capability (</w:t>
      </w:r>
      <w:r w:rsidRPr="00100C85">
        <w:rPr>
          <w:rFonts w:ascii="Arial" w:hAnsi="Arial" w:cs="Arial"/>
          <w:i/>
          <w:iCs/>
          <w:sz w:val="20"/>
          <w:szCs w:val="20"/>
        </w:rPr>
        <w:t>pdcch-Monitoring-r16</w:t>
      </w:r>
      <w:r w:rsidRPr="00100C85">
        <w:rPr>
          <w:rFonts w:ascii="Arial" w:hAnsi="Arial" w:cs="Arial"/>
          <w:sz w:val="20"/>
          <w:szCs w:val="20"/>
        </w:rPr>
        <w:t>, (X, Y) span) as the baseline to define the new capability</w:t>
      </w:r>
    </w:p>
    <w:p w14:paraId="71694870" w14:textId="77777777" w:rsidR="00EA3D59" w:rsidRPr="00100C85" w:rsidRDefault="00EA3D59" w:rsidP="00396D18">
      <w:pPr>
        <w:pStyle w:val="ListParagraph"/>
        <w:numPr>
          <w:ilvl w:val="0"/>
          <w:numId w:val="27"/>
        </w:numPr>
        <w:snapToGrid w:val="0"/>
        <w:spacing w:after="120"/>
        <w:rPr>
          <w:rFonts w:ascii="Arial" w:hAnsi="Arial" w:cs="Arial"/>
          <w:sz w:val="20"/>
          <w:szCs w:val="20"/>
        </w:rPr>
      </w:pPr>
      <w:r w:rsidRPr="00100C85">
        <w:rPr>
          <w:rFonts w:ascii="Arial" w:hAnsi="Arial" w:cs="Arial"/>
          <w:sz w:val="20"/>
          <w:szCs w:val="20"/>
        </w:rPr>
        <w:t xml:space="preserve">Alt 3: A sliding window of N slots for defining multi-slot PDCCH monitoring capability. </w:t>
      </w:r>
    </w:p>
    <w:p w14:paraId="4641B7AE" w14:textId="68CDB64E" w:rsidR="000E4833" w:rsidRDefault="00396D18" w:rsidP="008E35CF">
      <w:pPr>
        <w:pStyle w:val="BodyText"/>
      </w:pPr>
      <w:r>
        <w:t xml:space="preserve">In the following, we analyze the three alternatives </w:t>
      </w:r>
      <w:r w:rsidR="00596A94">
        <w:t>based on the principles discussed in the last section and how each alternative address the above two as</w:t>
      </w:r>
      <w:r w:rsidR="008F2DF3">
        <w:t xml:space="preserve">pects. </w:t>
      </w:r>
      <w:r w:rsidR="00CF38BF">
        <w:t xml:space="preserve">We found that, while the three alternatives start from different starting </w:t>
      </w:r>
      <w:r w:rsidR="0067435B">
        <w:t>perspective</w:t>
      </w:r>
      <w:r w:rsidR="003E419F">
        <w:t>s</w:t>
      </w:r>
      <w:r w:rsidR="0067435B">
        <w:t>, they all end up utiliz</w:t>
      </w:r>
      <w:r w:rsidR="00692D2D">
        <w:t>ing or requiring certain sliding window check on the PDCCH processing loads.</w:t>
      </w:r>
    </w:p>
    <w:p w14:paraId="182FD7CD" w14:textId="77777777" w:rsidR="002742A8" w:rsidRDefault="002742A8" w:rsidP="008E35CF">
      <w:pPr>
        <w:pStyle w:val="BodyText"/>
      </w:pPr>
    </w:p>
    <w:p w14:paraId="2BA0FB25" w14:textId="6663B720" w:rsidR="002742A8" w:rsidRDefault="00106E0D" w:rsidP="002742A8">
      <w:pPr>
        <w:pStyle w:val="Observation"/>
      </w:pPr>
      <w:bookmarkStart w:id="8" w:name="_Toc68610470"/>
      <w:r>
        <w:t xml:space="preserve">While the three alternatives </w:t>
      </w:r>
      <w:r w:rsidR="007544EA">
        <w:t xml:space="preserve">for defining UE multi-slot PDCCH processing capabilities </w:t>
      </w:r>
      <w:r w:rsidR="003E419F">
        <w:t xml:space="preserve">are </w:t>
      </w:r>
      <w:r w:rsidR="0007391E">
        <w:t>constructed</w:t>
      </w:r>
      <w:r>
        <w:t xml:space="preserve"> from different starting perspective</w:t>
      </w:r>
      <w:r w:rsidR="003E419F">
        <w:t>s</w:t>
      </w:r>
      <w:r>
        <w:t>, they all end up utilizing or requiring certain sliding window check on the PDCCH processing loads</w:t>
      </w:r>
      <w:r w:rsidR="002742A8">
        <w:t>.</w:t>
      </w:r>
      <w:bookmarkEnd w:id="8"/>
    </w:p>
    <w:p w14:paraId="273B832D" w14:textId="24EFC79D" w:rsidR="00CB235E" w:rsidRDefault="0067435B" w:rsidP="008E35CF">
      <w:pPr>
        <w:pStyle w:val="BodyText"/>
      </w:pPr>
      <w:r>
        <w:t xml:space="preserve"> </w:t>
      </w:r>
    </w:p>
    <w:p w14:paraId="3BCBABDA" w14:textId="12F449C0" w:rsidR="00902B19" w:rsidRDefault="00902B19" w:rsidP="00902B19">
      <w:pPr>
        <w:pStyle w:val="Heading3"/>
      </w:pPr>
      <w:bookmarkStart w:id="9" w:name="_Toc67653041"/>
      <w:r>
        <w:t>2.</w:t>
      </w:r>
      <w:r w:rsidR="00E9206F">
        <w:t>2</w:t>
      </w:r>
      <w:r>
        <w:t>.1</w:t>
      </w:r>
      <w:r w:rsidRPr="00C81EDA">
        <w:tab/>
      </w:r>
      <w:r w:rsidR="00D23238" w:rsidRPr="00D23238">
        <w:t>Alt 1: A fixed pattern of N</w:t>
      </w:r>
      <w:r w:rsidR="00544C5F">
        <w:t>-</w:t>
      </w:r>
      <w:r w:rsidR="00D23238" w:rsidRPr="00D23238">
        <w:t>slot</w:t>
      </w:r>
      <w:r w:rsidR="00544C5F">
        <w:t xml:space="preserve"> groups</w:t>
      </w:r>
      <w:bookmarkEnd w:id="9"/>
    </w:p>
    <w:p w14:paraId="02704151" w14:textId="13D59EAC" w:rsidR="00902B19" w:rsidRDefault="00A54FBE" w:rsidP="00D7112B">
      <w:pPr>
        <w:pStyle w:val="BodyText"/>
      </w:pPr>
      <w:r>
        <w:t xml:space="preserve">In this proposed solution, </w:t>
      </w:r>
      <w:r w:rsidR="00B63626">
        <w:t xml:space="preserve">fixed </w:t>
      </w:r>
      <w:r w:rsidR="0005392E">
        <w:t xml:space="preserve">non-overlapping </w:t>
      </w:r>
      <w:r>
        <w:t xml:space="preserve">N slots are considered </w:t>
      </w:r>
      <w:r w:rsidR="00B63626">
        <w:t xml:space="preserve">together as a slot group. The organization of these N-slot groups </w:t>
      </w:r>
      <w:r w:rsidR="00E51E76">
        <w:t xml:space="preserve">likely needs to align with </w:t>
      </w:r>
      <w:r w:rsidR="00F31AE3">
        <w:t>the radio frame boundaries</w:t>
      </w:r>
      <w:r w:rsidR="005F1DD2">
        <w:t xml:space="preserve"> such as one illustrated below</w:t>
      </w:r>
      <w:r w:rsidR="00F31AE3">
        <w:t>.</w:t>
      </w:r>
    </w:p>
    <w:p w14:paraId="719048E3" w14:textId="77777777" w:rsidR="00302BBB" w:rsidRPr="00302BBB" w:rsidRDefault="00302BBB" w:rsidP="00816A8F">
      <w:pPr>
        <w:pStyle w:val="BodyText"/>
        <w:spacing w:before="120"/>
        <w:jc w:val="right"/>
      </w:pPr>
      <w:r w:rsidRPr="00302BBB">
        <w:rPr>
          <w:noProof/>
        </w:rPr>
        <w:drawing>
          <wp:inline distT="0" distB="0" distL="0" distR="0" wp14:anchorId="47492327" wp14:editId="5BD65E37">
            <wp:extent cx="5792962" cy="98375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1163" cy="998736"/>
                    </a:xfrm>
                    <a:prstGeom prst="rect">
                      <a:avLst/>
                    </a:prstGeom>
                    <a:noFill/>
                  </pic:spPr>
                </pic:pic>
              </a:graphicData>
            </a:graphic>
          </wp:inline>
        </w:drawing>
      </w:r>
    </w:p>
    <w:p w14:paraId="44176136" w14:textId="3AAC58D5" w:rsidR="00F31AE3" w:rsidRPr="00585DB0" w:rsidRDefault="0069448F" w:rsidP="00D7112B">
      <w:pPr>
        <w:pStyle w:val="BodyText"/>
        <w:rPr>
          <w:b/>
          <w:bCs/>
          <w:u w:val="single"/>
        </w:rPr>
      </w:pPr>
      <w:r w:rsidRPr="00585DB0">
        <w:rPr>
          <w:b/>
          <w:bCs/>
          <w:u w:val="single"/>
        </w:rPr>
        <w:t>In which slot(s) of a multi-slot span shall PDCCH be monitored?</w:t>
      </w:r>
    </w:p>
    <w:p w14:paraId="51A77F6E" w14:textId="69A78C75" w:rsidR="00244781" w:rsidRDefault="004A16F3" w:rsidP="00D7112B">
      <w:pPr>
        <w:pStyle w:val="BodyText"/>
      </w:pPr>
      <w:r>
        <w:t>There does not seem to be a consensus on this.</w:t>
      </w:r>
      <w:r w:rsidR="00946608">
        <w:t xml:space="preserve"> </w:t>
      </w:r>
      <w:r w:rsidR="00617912">
        <w:t xml:space="preserve">Some </w:t>
      </w:r>
      <w:r>
        <w:t xml:space="preserve">companies think </w:t>
      </w:r>
      <w:r w:rsidR="00006A09">
        <w:t xml:space="preserve">PDCCH </w:t>
      </w:r>
      <w:r w:rsidR="00F8651A">
        <w:t xml:space="preserve">should be </w:t>
      </w:r>
      <w:r w:rsidR="00006A09">
        <w:t xml:space="preserve">monitored </w:t>
      </w:r>
      <w:r w:rsidR="00F8651A">
        <w:t xml:space="preserve">in the first </w:t>
      </w:r>
      <w:r w:rsidR="003D7F0C">
        <w:t xml:space="preserve">or </w:t>
      </w:r>
      <w:r w:rsidR="00BC3DE4">
        <w:t xml:space="preserve">the </w:t>
      </w:r>
      <w:r w:rsidR="003D7F0C">
        <w:t xml:space="preserve">first </w:t>
      </w:r>
      <w:r w:rsidR="00526707">
        <w:t xml:space="preserve">Y </w:t>
      </w:r>
      <w:r w:rsidR="00BC3DE4">
        <w:t xml:space="preserve">consecutive </w:t>
      </w:r>
      <w:r w:rsidR="009F2693">
        <w:t>slots</w:t>
      </w:r>
      <w:r w:rsidR="00526707">
        <w:t xml:space="preserve"> </w:t>
      </w:r>
      <w:r w:rsidR="00B50332">
        <w:t>only</w:t>
      </w:r>
      <w:r w:rsidR="00617912">
        <w:t xml:space="preserve">, </w:t>
      </w:r>
      <w:r w:rsidR="00B50332">
        <w:t xml:space="preserve">while other think </w:t>
      </w:r>
      <w:r w:rsidR="00006A09">
        <w:t xml:space="preserve">any slot within the </w:t>
      </w:r>
      <w:r w:rsidR="004E566F">
        <w:t>N-slot group can be used to carry PDCCH.</w:t>
      </w:r>
    </w:p>
    <w:p w14:paraId="566C39FF" w14:textId="515F5CB6" w:rsidR="00244781" w:rsidRDefault="00684D94" w:rsidP="002F5459">
      <w:pPr>
        <w:pStyle w:val="BodyText"/>
        <w:ind w:left="1080" w:hanging="1080"/>
      </w:pPr>
      <w:r>
        <w:t>Alt 1A</w:t>
      </w:r>
      <w:r w:rsidR="002F5459">
        <w:tab/>
      </w:r>
      <w:r w:rsidR="00FF295C">
        <w:t xml:space="preserve">If </w:t>
      </w:r>
      <w:r w:rsidR="00BF79B1">
        <w:t xml:space="preserve">PDCCH monitoring </w:t>
      </w:r>
      <w:r w:rsidR="00FF295C">
        <w:t xml:space="preserve">is restricted </w:t>
      </w:r>
      <w:r w:rsidR="00BF79B1">
        <w:t xml:space="preserve">to the beginning of an N-slot group, </w:t>
      </w:r>
      <w:r w:rsidR="00FF295C">
        <w:t>the solution become</w:t>
      </w:r>
      <w:r w:rsidR="009F2693">
        <w:t>s</w:t>
      </w:r>
      <w:r w:rsidR="00FF295C">
        <w:t xml:space="preserve"> </w:t>
      </w:r>
      <w:proofErr w:type="gramStart"/>
      <w:r w:rsidR="00EF780D">
        <w:t xml:space="preserve">similar </w:t>
      </w:r>
      <w:r w:rsidR="00262357">
        <w:t>to</w:t>
      </w:r>
      <w:proofErr w:type="gramEnd"/>
      <w:r w:rsidR="00EF780D">
        <w:t xml:space="preserve"> Alt 2</w:t>
      </w:r>
      <w:r w:rsidR="00262357">
        <w:t xml:space="preserve"> except the locations of the N-slot groups are more flexible in</w:t>
      </w:r>
      <w:r w:rsidR="00EF780D">
        <w:t xml:space="preserve"> Alt 2</w:t>
      </w:r>
      <w:r w:rsidR="00DB5297">
        <w:t>.</w:t>
      </w:r>
      <w:r w:rsidR="00FE1E56">
        <w:t xml:space="preserve"> This is illustrated below for the case of Y = 14 OS</w:t>
      </w:r>
      <w:r w:rsidR="000C4E5A">
        <w:t xml:space="preserve">. </w:t>
      </w:r>
      <w:r w:rsidR="00643BB3" w:rsidRPr="00643BB3">
        <w:t xml:space="preserve">As we show in the analysis below, restrictions on where PDCCH can be monitored, e.g., to avoid heavy localized processing load, </w:t>
      </w:r>
      <w:r w:rsidR="009F2693">
        <w:t>results</w:t>
      </w:r>
      <w:r w:rsidR="00643BB3" w:rsidRPr="00643BB3">
        <w:t xml:space="preserve"> in an </w:t>
      </w:r>
      <w:r w:rsidR="00643BB3" w:rsidRPr="009F2693">
        <w:rPr>
          <w:i/>
          <w:iCs/>
        </w:rPr>
        <w:t>effective</w:t>
      </w:r>
      <w:r w:rsidR="00643BB3" w:rsidRPr="00643BB3">
        <w:t xml:space="preserve"> sliding window starting in slots with (</w:t>
      </w:r>
      <w:proofErr w:type="spellStart"/>
      <w:r w:rsidR="00643BB3" w:rsidRPr="00643BB3">
        <w:t>slot_id</w:t>
      </w:r>
      <w:proofErr w:type="spellEnd"/>
      <w:r w:rsidR="00643BB3" w:rsidRPr="00643BB3">
        <w:t xml:space="preserve"> mod 4 == 0)</w:t>
      </w:r>
      <w:r w:rsidR="00643BB3">
        <w:t xml:space="preserve"> as also shown in the illustration</w:t>
      </w:r>
      <w:r w:rsidR="00812FCC">
        <w:t>.</w:t>
      </w:r>
      <w:r w:rsidR="00FA4102" w:rsidDel="0090136E">
        <w:t xml:space="preserve"> </w:t>
      </w:r>
    </w:p>
    <w:p w14:paraId="314B375D" w14:textId="77777777" w:rsidR="00F076EE" w:rsidRDefault="00F076EE" w:rsidP="0005552C">
      <w:pPr>
        <w:pStyle w:val="BodyText"/>
        <w:spacing w:before="120"/>
      </w:pPr>
      <w:r w:rsidRPr="006D28B7">
        <w:rPr>
          <w:noProof/>
        </w:rPr>
        <w:drawing>
          <wp:inline distT="0" distB="0" distL="0" distR="0" wp14:anchorId="2DB61578" wp14:editId="3D6265E0">
            <wp:extent cx="6120765" cy="8458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845820"/>
                    </a:xfrm>
                    <a:prstGeom prst="rect">
                      <a:avLst/>
                    </a:prstGeom>
                    <a:noFill/>
                    <a:ln>
                      <a:noFill/>
                    </a:ln>
                  </pic:spPr>
                </pic:pic>
              </a:graphicData>
            </a:graphic>
          </wp:inline>
        </w:drawing>
      </w:r>
    </w:p>
    <w:p w14:paraId="2D97A588" w14:textId="527484B0" w:rsidR="00F076EE" w:rsidRPr="009B6F32" w:rsidRDefault="00F076EE" w:rsidP="00F076EE">
      <w:pPr>
        <w:pStyle w:val="TF"/>
        <w:rPr>
          <w:lang w:val="en-US"/>
        </w:rPr>
      </w:pPr>
      <w:bookmarkStart w:id="10" w:name="_Ref67481449"/>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711D1F">
        <w:rPr>
          <w:noProof/>
          <w:lang w:val="en-US"/>
        </w:rPr>
        <w:t>3</w:t>
      </w:r>
      <w:r w:rsidRPr="009B6F32">
        <w:rPr>
          <w:lang w:val="en-US"/>
        </w:rPr>
        <w:fldChar w:fldCharType="end"/>
      </w:r>
      <w:bookmarkEnd w:id="10"/>
      <w:r w:rsidRPr="009B6F32">
        <w:rPr>
          <w:lang w:val="en-US"/>
        </w:rPr>
        <w:t xml:space="preserve">: </w:t>
      </w:r>
      <w:r>
        <w:rPr>
          <w:lang w:val="en-US"/>
        </w:rPr>
        <w:t>M</w:t>
      </w:r>
      <w:r w:rsidRPr="009B6F32">
        <w:rPr>
          <w:lang w:val="en-US"/>
        </w:rPr>
        <w:t>ulti-slot PDCCH monitoring</w:t>
      </w:r>
      <w:r>
        <w:rPr>
          <w:lang w:val="en-US"/>
        </w:rPr>
        <w:t xml:space="preserve"> according to Alt 1A or Alt 2 </w:t>
      </w:r>
      <w:r w:rsidR="00122755">
        <w:rPr>
          <w:lang w:val="en-US"/>
        </w:rPr>
        <w:t xml:space="preserve">with </w:t>
      </w:r>
      <w:r>
        <w:rPr>
          <w:lang w:val="en-US"/>
        </w:rPr>
        <w:t>Y=14 OS</w:t>
      </w:r>
      <w:r w:rsidRPr="00697E8F">
        <w:t>.</w:t>
      </w:r>
    </w:p>
    <w:p w14:paraId="22A1018B" w14:textId="38D769D1" w:rsidR="002F5459" w:rsidRDefault="002F5459" w:rsidP="002F5459">
      <w:pPr>
        <w:pStyle w:val="BodyText"/>
        <w:ind w:left="1080" w:hanging="1080"/>
      </w:pPr>
      <w:r>
        <w:t>Alt 1B</w:t>
      </w:r>
      <w:r>
        <w:tab/>
      </w:r>
      <w:r w:rsidR="003C6A3F">
        <w:t>PDCCH monitoring can be configured in any slot of an N-slot group</w:t>
      </w:r>
      <w:r>
        <w:t xml:space="preserve">. </w:t>
      </w:r>
      <w:r w:rsidR="00AE2A5F">
        <w:t xml:space="preserve">This makes the </w:t>
      </w:r>
      <w:r w:rsidR="001F4F2D">
        <w:t xml:space="preserve">solution </w:t>
      </w:r>
      <w:r w:rsidR="008E45B2">
        <w:t xml:space="preserve">very similar to </w:t>
      </w:r>
      <w:r w:rsidR="0070173F">
        <w:t>Alt 3</w:t>
      </w:r>
      <w:r w:rsidR="00DB5297">
        <w:t>.</w:t>
      </w:r>
    </w:p>
    <w:p w14:paraId="5F5F5EA8" w14:textId="68BF3A81" w:rsidR="0069448F" w:rsidRPr="00585DB0" w:rsidRDefault="0069448F" w:rsidP="00D7112B">
      <w:pPr>
        <w:pStyle w:val="BodyText"/>
        <w:rPr>
          <w:b/>
          <w:bCs/>
          <w:u w:val="single"/>
        </w:rPr>
      </w:pPr>
      <w:r w:rsidRPr="00585DB0">
        <w:rPr>
          <w:b/>
          <w:bCs/>
          <w:u w:val="single"/>
        </w:rPr>
        <w:t>In which OFDM symbols of a monitored slot shall PDCCH be monitored?</w:t>
      </w:r>
    </w:p>
    <w:p w14:paraId="49A6FFE9" w14:textId="3650BB57" w:rsidR="00611775" w:rsidRDefault="00611775" w:rsidP="00611775">
      <w:pPr>
        <w:pStyle w:val="BodyText"/>
        <w:ind w:left="1080" w:hanging="1080"/>
      </w:pPr>
      <w:r>
        <w:t>Alt 1A</w:t>
      </w:r>
      <w:r>
        <w:tab/>
        <w:t xml:space="preserve">If PDCCH monitoring is restricted to the beginning of an N-slot group, </w:t>
      </w:r>
      <w:r w:rsidR="00EF349C">
        <w:t xml:space="preserve">it becomes necessary </w:t>
      </w:r>
      <w:r w:rsidR="009F2693">
        <w:t xml:space="preserve">to </w:t>
      </w:r>
      <w:r w:rsidR="0081401B">
        <w:t xml:space="preserve">utilize </w:t>
      </w:r>
      <w:r w:rsidR="00A7650D">
        <w:t xml:space="preserve">more OFDM symbols in the first slot </w:t>
      </w:r>
      <w:r w:rsidR="0008380F">
        <w:t>to multiplex different UEs</w:t>
      </w:r>
      <w:r w:rsidR="004D5762">
        <w:t xml:space="preserve"> on CORESETs</w:t>
      </w:r>
      <w:r w:rsidR="000513DC">
        <w:t xml:space="preserve"> with different time locations</w:t>
      </w:r>
      <w:r w:rsidR="0014781E">
        <w:t xml:space="preserve"> as illustrated</w:t>
      </w:r>
      <w:r w:rsidR="00CC1B73">
        <w:t xml:space="preserve"> in </w:t>
      </w:r>
      <w:r w:rsidR="00CC1B73">
        <w:fldChar w:fldCharType="begin"/>
      </w:r>
      <w:r w:rsidR="00CC1B73">
        <w:instrText xml:space="preserve"> REF _Ref67481449 \h </w:instrText>
      </w:r>
      <w:r w:rsidR="00CC1B73">
        <w:fldChar w:fldCharType="separate"/>
      </w:r>
      <w:r w:rsidR="00711D1F" w:rsidRPr="009B6F32">
        <w:t xml:space="preserve">Figure </w:t>
      </w:r>
      <w:r w:rsidR="00711D1F">
        <w:rPr>
          <w:noProof/>
        </w:rPr>
        <w:t>3</w:t>
      </w:r>
      <w:r w:rsidR="00CC1B73">
        <w:fldChar w:fldCharType="end"/>
      </w:r>
      <w:r w:rsidR="001874B0">
        <w:t xml:space="preserve"> above</w:t>
      </w:r>
      <w:r w:rsidR="004D5762">
        <w:t xml:space="preserve">. </w:t>
      </w:r>
      <w:r w:rsidR="000A160D">
        <w:t xml:space="preserve">A </w:t>
      </w:r>
      <w:r w:rsidR="00CD6EA1">
        <w:t xml:space="preserve">UE will need to </w:t>
      </w:r>
      <w:r w:rsidR="00CB26D7">
        <w:t>be able to monitor CSS in one CORESET</w:t>
      </w:r>
      <w:r w:rsidR="00EF7270">
        <w:t xml:space="preserve"> and USS </w:t>
      </w:r>
      <w:r w:rsidR="00C42ABF">
        <w:t xml:space="preserve">in </w:t>
      </w:r>
      <w:r w:rsidR="000A160D">
        <w:t>a diff</w:t>
      </w:r>
      <w:r w:rsidR="00696C75">
        <w:t xml:space="preserve">erent CORESET that </w:t>
      </w:r>
      <w:r w:rsidR="00540420">
        <w:t>are not necessarily contiguous in time</w:t>
      </w:r>
      <w:r w:rsidR="001C105A">
        <w:t xml:space="preserve">, either. </w:t>
      </w:r>
      <w:r w:rsidR="003970C9">
        <w:t xml:space="preserve">That is, intra-slot </w:t>
      </w:r>
      <w:r w:rsidR="0093572B">
        <w:t xml:space="preserve">Case 2 </w:t>
      </w:r>
      <w:r w:rsidR="005C0EA0">
        <w:t xml:space="preserve">monitoring capability support </w:t>
      </w:r>
      <w:r w:rsidR="001C666F">
        <w:t>will be mandatory for Alt 1A.</w:t>
      </w:r>
      <w:r w:rsidR="0029349D">
        <w:t xml:space="preserve"> </w:t>
      </w:r>
      <w:r w:rsidR="00A87AEF">
        <w:t xml:space="preserve">This is because the UE </w:t>
      </w:r>
      <w:r w:rsidR="0059373F">
        <w:t xml:space="preserve">may also need to monitor the CSS and USS in the same slot and </w:t>
      </w:r>
      <w:r w:rsidR="00E13672">
        <w:t>the SS</w:t>
      </w:r>
      <w:r w:rsidR="00743377">
        <w:t xml:space="preserve"> </w:t>
      </w:r>
      <w:r w:rsidR="00DE7076">
        <w:t xml:space="preserve">may be separated by more than three OS </w:t>
      </w:r>
      <w:r w:rsidR="0081237A">
        <w:t xml:space="preserve">span </w:t>
      </w:r>
      <w:r w:rsidR="00C8199C">
        <w:t>allowed in intra-slot Case 1-2.</w:t>
      </w:r>
    </w:p>
    <w:p w14:paraId="26B477E5" w14:textId="77679303" w:rsidR="00611775" w:rsidRDefault="00611775" w:rsidP="00611775">
      <w:pPr>
        <w:pStyle w:val="BodyText"/>
        <w:ind w:left="1080" w:hanging="1080"/>
      </w:pPr>
      <w:r>
        <w:t>Alt 1B</w:t>
      </w:r>
      <w:r>
        <w:tab/>
      </w:r>
      <w:r w:rsidR="00F929CC">
        <w:t xml:space="preserve">With PDCCH monitoring configurable in any slot of the N-slot group, </w:t>
      </w:r>
      <w:r w:rsidR="007D75DF">
        <w:t xml:space="preserve">Case 1-1 </w:t>
      </w:r>
      <w:r w:rsidR="00345087">
        <w:t>intra</w:t>
      </w:r>
      <w:r w:rsidR="003B21B4">
        <w:t>-slot monitoring capability support should be sufficient</w:t>
      </w:r>
      <w:r>
        <w:t>.</w:t>
      </w:r>
      <w:r w:rsidR="003B21B4">
        <w:t xml:space="preserve"> Th</w:t>
      </w:r>
      <w:r w:rsidR="00983706">
        <w:t xml:space="preserve">e analysis </w:t>
      </w:r>
      <w:r w:rsidR="003B21B4">
        <w:t xml:space="preserve">is </w:t>
      </w:r>
      <w:r w:rsidR="00983706">
        <w:t xml:space="preserve">presented </w:t>
      </w:r>
      <w:r w:rsidR="003B21B4">
        <w:t>in the discussion for Alt 3</w:t>
      </w:r>
      <w:r w:rsidR="00BE31CD">
        <w:t xml:space="preserve"> in Section 2.2.3</w:t>
      </w:r>
      <w:r w:rsidR="003B21B4">
        <w:t>.</w:t>
      </w:r>
    </w:p>
    <w:p w14:paraId="15F6329E" w14:textId="051A96B5" w:rsidR="0005392E" w:rsidRPr="00585DB0" w:rsidRDefault="0005392E" w:rsidP="00D7112B">
      <w:pPr>
        <w:pStyle w:val="BodyText"/>
        <w:rPr>
          <w:b/>
          <w:bCs/>
          <w:u w:val="single"/>
        </w:rPr>
      </w:pPr>
      <w:r w:rsidRPr="00585DB0">
        <w:rPr>
          <w:b/>
          <w:bCs/>
          <w:u w:val="single"/>
        </w:rPr>
        <w:t>Analysis</w:t>
      </w:r>
    </w:p>
    <w:p w14:paraId="1F2FE2DF" w14:textId="6EF3D6C3" w:rsidR="00265425" w:rsidRDefault="00265425" w:rsidP="00265425">
      <w:pPr>
        <w:pStyle w:val="BodyText"/>
        <w:ind w:left="1080" w:hanging="1080"/>
      </w:pPr>
      <w:r>
        <w:t>Alt 1A</w:t>
      </w:r>
      <w:r>
        <w:tab/>
      </w:r>
      <w:proofErr w:type="gramStart"/>
      <w:r w:rsidR="0067695C">
        <w:t>The</w:t>
      </w:r>
      <w:proofErr w:type="gramEnd"/>
      <w:r w:rsidR="0067695C">
        <w:t xml:space="preserve"> </w:t>
      </w:r>
      <w:r w:rsidR="006A3B7F">
        <w:t xml:space="preserve">main </w:t>
      </w:r>
      <w:r w:rsidR="0067695C">
        <w:t xml:space="preserve">issues </w:t>
      </w:r>
      <w:r w:rsidR="00574CA8">
        <w:t xml:space="preserve">of restricting network operations </w:t>
      </w:r>
      <w:r w:rsidR="002C23A9">
        <w:t xml:space="preserve">are similar to those for Alt 2 </w:t>
      </w:r>
      <w:r w:rsidR="006A3B7F">
        <w:t>presented in Section 2.2.2 below</w:t>
      </w:r>
      <w:r>
        <w:t>.</w:t>
      </w:r>
      <w:r w:rsidR="00667DC6">
        <w:t xml:space="preserve"> It’s noted that, however, Alt 1A is less flexible than Alt 2</w:t>
      </w:r>
      <w:r w:rsidR="00537EBE">
        <w:t xml:space="preserve"> because</w:t>
      </w:r>
      <w:r w:rsidR="00667DC6">
        <w:t xml:space="preserve"> the placement of the </w:t>
      </w:r>
      <w:r w:rsidR="00537EBE">
        <w:t xml:space="preserve">N-slot groups is fixed. </w:t>
      </w:r>
      <w:r w:rsidR="00396161">
        <w:t xml:space="preserve">For example, Alt 1A can support PDCCH monitoring in slots </w:t>
      </w:r>
      <w:r w:rsidR="00311752">
        <w:t>with (</w:t>
      </w:r>
      <w:proofErr w:type="spellStart"/>
      <w:r w:rsidR="00311752">
        <w:t>slot_id</w:t>
      </w:r>
      <w:proofErr w:type="spellEnd"/>
      <w:r w:rsidR="00311752">
        <w:t xml:space="preserve"> mod 4 </w:t>
      </w:r>
      <w:r w:rsidR="004C00A9">
        <w:t>=</w:t>
      </w:r>
      <w:r w:rsidR="00395471">
        <w:t>=</w:t>
      </w:r>
      <w:r w:rsidR="00D213A2">
        <w:t xml:space="preserve"> 0)</w:t>
      </w:r>
      <w:r w:rsidR="00520C04">
        <w:t xml:space="preserve"> but it cannot support</w:t>
      </w:r>
      <w:r w:rsidR="007C016C">
        <w:t>, for example,</w:t>
      </w:r>
      <w:r w:rsidR="00520C04">
        <w:t xml:space="preserve"> PDCCH monitoring in slots with (</w:t>
      </w:r>
      <w:proofErr w:type="spellStart"/>
      <w:r w:rsidR="00520C04">
        <w:t>slot_id</w:t>
      </w:r>
      <w:proofErr w:type="spellEnd"/>
      <w:r w:rsidR="00520C04">
        <w:t xml:space="preserve"> mod 10 =</w:t>
      </w:r>
      <w:r w:rsidR="00395471">
        <w:t>=</w:t>
      </w:r>
      <w:r w:rsidR="00520C04">
        <w:t xml:space="preserve"> </w:t>
      </w:r>
      <w:r w:rsidR="008039E2">
        <w:t xml:space="preserve">0 or </w:t>
      </w:r>
      <w:r w:rsidR="001202DD">
        <w:t>4</w:t>
      </w:r>
      <w:r w:rsidR="00520C04">
        <w:t>)</w:t>
      </w:r>
      <w:r w:rsidR="001202DD">
        <w:t>.</w:t>
      </w:r>
      <w:r w:rsidR="00AE3F3B">
        <w:t xml:space="preserve"> It is also unclear whether </w:t>
      </w:r>
      <w:r w:rsidR="001F1035">
        <w:t xml:space="preserve">the monitoring configuration </w:t>
      </w:r>
      <w:proofErr w:type="gramStart"/>
      <w:r w:rsidR="001F1035">
        <w:t>similar to</w:t>
      </w:r>
      <w:proofErr w:type="gramEnd"/>
      <w:r w:rsidR="001F1035">
        <w:t xml:space="preserve"> that for UE</w:t>
      </w:r>
      <w:r w:rsidR="00635D96">
        <w:t xml:space="preserve"> 2 and </w:t>
      </w:r>
      <w:r w:rsidR="001F1035">
        <w:t xml:space="preserve">4 in </w:t>
      </w:r>
      <w:r w:rsidR="001F1035">
        <w:fldChar w:fldCharType="begin"/>
      </w:r>
      <w:r w:rsidR="001F1035">
        <w:instrText xml:space="preserve"> REF _Ref67488083 \h </w:instrText>
      </w:r>
      <w:r w:rsidR="001F1035">
        <w:fldChar w:fldCharType="separate"/>
      </w:r>
      <w:r w:rsidR="00711D1F" w:rsidRPr="009B6F32">
        <w:t xml:space="preserve">Figure </w:t>
      </w:r>
      <w:r w:rsidR="00711D1F">
        <w:rPr>
          <w:noProof/>
        </w:rPr>
        <w:t>5</w:t>
      </w:r>
      <w:r w:rsidR="001F1035">
        <w:fldChar w:fldCharType="end"/>
      </w:r>
      <w:r w:rsidR="001F1035">
        <w:t xml:space="preserve"> is allowed under Alt 1A.</w:t>
      </w:r>
    </w:p>
    <w:p w14:paraId="0B1F4681" w14:textId="16CFFBB8" w:rsidR="00265425" w:rsidRDefault="00265425" w:rsidP="00265425">
      <w:pPr>
        <w:pStyle w:val="BodyText"/>
        <w:ind w:left="1080" w:hanging="1080"/>
      </w:pPr>
      <w:r>
        <w:t>Alt 1B</w:t>
      </w:r>
      <w:r>
        <w:tab/>
      </w:r>
      <w:proofErr w:type="gramStart"/>
      <w:r w:rsidR="00194A48">
        <w:t>The</w:t>
      </w:r>
      <w:proofErr w:type="gramEnd"/>
      <w:r w:rsidR="00194A48">
        <w:t xml:space="preserve"> main issue</w:t>
      </w:r>
      <w:r w:rsidR="00843ACF">
        <w:t>s</w:t>
      </w:r>
      <w:r w:rsidR="00194A48">
        <w:t xml:space="preserve"> </w:t>
      </w:r>
      <w:r w:rsidR="00635D96">
        <w:t xml:space="preserve">for Alt-1B </w:t>
      </w:r>
      <w:r w:rsidR="00194A48">
        <w:t>ha</w:t>
      </w:r>
      <w:r w:rsidR="00843ACF">
        <w:t>ve</w:t>
      </w:r>
      <w:r w:rsidR="00194A48">
        <w:t xml:space="preserve"> been well documented by several companies</w:t>
      </w:r>
      <w:r w:rsidR="002F127F">
        <w:t xml:space="preserve">: one N-slot group with heavy PDCCH processing load at the end of the group may be followed by </w:t>
      </w:r>
      <w:r w:rsidR="00636C93">
        <w:t>another with heavy PDCCH processing load at the beginning</w:t>
      </w:r>
      <w:r>
        <w:t>.</w:t>
      </w:r>
      <w:r w:rsidR="00636C93">
        <w:t xml:space="preserve"> While each </w:t>
      </w:r>
      <w:r w:rsidR="00BB5D25">
        <w:t xml:space="preserve">N-slot group honors the UE PDCCH </w:t>
      </w:r>
      <w:r w:rsidR="003F726D">
        <w:t xml:space="preserve">processing capability individually, </w:t>
      </w:r>
      <w:r w:rsidR="00A42081">
        <w:t xml:space="preserve">the </w:t>
      </w:r>
      <w:r w:rsidR="00992EC1">
        <w:t xml:space="preserve">capability limit is nonetheless exceeded locally </w:t>
      </w:r>
      <w:r w:rsidR="00842A46">
        <w:t>at</w:t>
      </w:r>
      <w:r w:rsidR="004B7DDD">
        <w:t xml:space="preserve"> the boundar</w:t>
      </w:r>
      <w:r w:rsidR="00111011">
        <w:t>y</w:t>
      </w:r>
      <w:r w:rsidR="004B7DDD">
        <w:t xml:space="preserve"> of the two groups. The </w:t>
      </w:r>
      <w:r w:rsidR="009703CD">
        <w:t xml:space="preserve">proposed </w:t>
      </w:r>
      <w:r w:rsidR="004B7DDD">
        <w:t xml:space="preserve">solution is </w:t>
      </w:r>
      <w:r w:rsidR="002856C8">
        <w:t xml:space="preserve">to </w:t>
      </w:r>
      <w:r w:rsidR="004B7DDD">
        <w:t xml:space="preserve">identify such potential </w:t>
      </w:r>
      <w:r w:rsidR="001337B4">
        <w:t xml:space="preserve">capability violations and </w:t>
      </w:r>
      <w:r w:rsidR="004B16C7">
        <w:t xml:space="preserve">standardize explicit </w:t>
      </w:r>
      <w:r w:rsidR="00703DE2">
        <w:t xml:space="preserve">rules </w:t>
      </w:r>
      <w:r w:rsidR="0048244E">
        <w:t xml:space="preserve">against such violation. </w:t>
      </w:r>
      <w:r w:rsidR="002856C8">
        <w:t xml:space="preserve">Some companies already provide such </w:t>
      </w:r>
      <w:r w:rsidR="00577A1D">
        <w:t>rules for</w:t>
      </w:r>
      <w:r w:rsidR="00591BBF">
        <w:t>, for example</w:t>
      </w:r>
      <w:r w:rsidR="00866D99">
        <w:t xml:space="preserve"> as illustrated below</w:t>
      </w:r>
      <w:r w:rsidR="00591BBF">
        <w:t xml:space="preserve">, against putting all PDCCH processing load </w:t>
      </w:r>
      <w:r w:rsidR="00A245B6">
        <w:t xml:space="preserve">in the last slot </w:t>
      </w:r>
      <w:r w:rsidR="003F68A4">
        <w:t xml:space="preserve">of a group </w:t>
      </w:r>
      <w:r w:rsidR="00A245B6">
        <w:t xml:space="preserve">followed by </w:t>
      </w:r>
      <w:r w:rsidR="00BB15A2">
        <w:t xml:space="preserve">another group with </w:t>
      </w:r>
      <w:r w:rsidR="003F68A4">
        <w:t xml:space="preserve">all PDCCH processing load in the </w:t>
      </w:r>
      <w:r w:rsidR="00BB15A2">
        <w:t xml:space="preserve">first </w:t>
      </w:r>
      <w:r w:rsidR="003F68A4">
        <w:t>slot</w:t>
      </w:r>
      <w:r w:rsidR="00BB15A2">
        <w:t xml:space="preserve">. </w:t>
      </w:r>
      <w:r w:rsidR="00C93720">
        <w:t xml:space="preserve">This is effectively adding an additional set of sliding window checks on the PDCCH processing loads as shown in the illustration below. </w:t>
      </w:r>
      <w:r w:rsidR="00BB15A2">
        <w:t xml:space="preserve">However, </w:t>
      </w:r>
      <w:r w:rsidR="004E00FA">
        <w:t xml:space="preserve">there are many more cases than this </w:t>
      </w:r>
      <w:proofErr w:type="gramStart"/>
      <w:r w:rsidR="004E00FA">
        <w:t xml:space="preserve">particular </w:t>
      </w:r>
      <w:r w:rsidR="00C658C7">
        <w:t>processing</w:t>
      </w:r>
      <w:proofErr w:type="gramEnd"/>
      <w:r w:rsidR="00C658C7">
        <w:t xml:space="preserve"> load violation</w:t>
      </w:r>
      <w:r w:rsidR="007D6EC4">
        <w:t xml:space="preserve"> and all of them will require separate </w:t>
      </w:r>
      <w:r w:rsidR="00F339EF">
        <w:t xml:space="preserve">follow-up discussion to </w:t>
      </w:r>
      <w:r w:rsidR="009037B8">
        <w:t xml:space="preserve">resolve. </w:t>
      </w:r>
      <w:r w:rsidR="00B07217">
        <w:t xml:space="preserve">At the end, </w:t>
      </w:r>
      <w:r w:rsidR="00D70711">
        <w:t xml:space="preserve">either the specs contain an extensive </w:t>
      </w:r>
      <w:r w:rsidR="00B3285B">
        <w:t>and compl</w:t>
      </w:r>
      <w:r w:rsidR="00AB1FF1">
        <w:t xml:space="preserve">icated </w:t>
      </w:r>
      <w:r w:rsidR="00D70711">
        <w:t>set of restrictions or</w:t>
      </w:r>
      <w:r w:rsidR="00D70711">
        <w:t xml:space="preserve"> </w:t>
      </w:r>
      <w:r w:rsidR="0027530F">
        <w:t>the spec</w:t>
      </w:r>
      <w:r w:rsidR="00B42B75">
        <w:t>s</w:t>
      </w:r>
      <w:r w:rsidR="0027530F">
        <w:t xml:space="preserve"> introduce sliding window checking as in Alt-3 which captures such restrictions implicitly</w:t>
      </w:r>
      <w:r w:rsidR="00635D96">
        <w:t xml:space="preserve"> </w:t>
      </w:r>
      <w:r w:rsidR="0027530F">
        <w:t>and more simply.</w:t>
      </w:r>
      <w:r w:rsidR="00D70711">
        <w:t xml:space="preserve"> </w:t>
      </w:r>
    </w:p>
    <w:p w14:paraId="1B2A3B68" w14:textId="4806B1F2" w:rsidR="006D28B7" w:rsidRDefault="005D61ED" w:rsidP="0005552C">
      <w:pPr>
        <w:pStyle w:val="BodyText"/>
        <w:spacing w:before="120"/>
      </w:pPr>
      <w:r w:rsidRPr="005D61ED">
        <w:rPr>
          <w:noProof/>
        </w:rPr>
        <w:drawing>
          <wp:inline distT="0" distB="0" distL="0" distR="0" wp14:anchorId="3AB24273" wp14:editId="058A73DD">
            <wp:extent cx="6120765" cy="98615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986155"/>
                    </a:xfrm>
                    <a:prstGeom prst="rect">
                      <a:avLst/>
                    </a:prstGeom>
                    <a:noFill/>
                    <a:ln>
                      <a:noFill/>
                    </a:ln>
                  </pic:spPr>
                </pic:pic>
              </a:graphicData>
            </a:graphic>
          </wp:inline>
        </w:drawing>
      </w:r>
    </w:p>
    <w:p w14:paraId="26227A7F" w14:textId="27AB952D" w:rsidR="005D61ED" w:rsidRPr="00A465EE" w:rsidRDefault="005D61ED" w:rsidP="00A465EE">
      <w:pPr>
        <w:pStyle w:val="TF"/>
        <w:jc w:val="both"/>
        <w:rPr>
          <w:lang w:val="en-US"/>
        </w:rPr>
      </w:pPr>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711D1F">
        <w:rPr>
          <w:noProof/>
          <w:lang w:val="en-US"/>
        </w:rPr>
        <w:t>4</w:t>
      </w:r>
      <w:r w:rsidRPr="009B6F32">
        <w:rPr>
          <w:lang w:val="en-US"/>
        </w:rPr>
        <w:fldChar w:fldCharType="end"/>
      </w:r>
      <w:r w:rsidRPr="009B6F32">
        <w:rPr>
          <w:lang w:val="en-US"/>
        </w:rPr>
        <w:t xml:space="preserve">: </w:t>
      </w:r>
      <w:r w:rsidR="00F95738">
        <w:rPr>
          <w:lang w:val="en-US"/>
        </w:rPr>
        <w:t xml:space="preserve">Solution to check local PDCCH processing load violation for </w:t>
      </w:r>
      <w:r>
        <w:rPr>
          <w:lang w:val="en-US"/>
        </w:rPr>
        <w:t xml:space="preserve">Alt </w:t>
      </w:r>
      <w:r w:rsidR="00564C5A">
        <w:rPr>
          <w:lang w:val="en-US"/>
        </w:rPr>
        <w:t>1B</w:t>
      </w:r>
      <w:r w:rsidR="00A465EE">
        <w:rPr>
          <w:lang w:val="en-US"/>
        </w:rPr>
        <w:t>: additional sliding window checks are added.</w:t>
      </w:r>
    </w:p>
    <w:p w14:paraId="6F298E58" w14:textId="77777777" w:rsidR="0005392E" w:rsidRDefault="0005392E" w:rsidP="00D7112B">
      <w:pPr>
        <w:pStyle w:val="BodyText"/>
      </w:pPr>
    </w:p>
    <w:p w14:paraId="660C5A9C" w14:textId="3A57F431" w:rsidR="00606401" w:rsidRDefault="00EC4324" w:rsidP="00606401">
      <w:pPr>
        <w:pStyle w:val="Observation"/>
      </w:pPr>
      <w:bookmarkStart w:id="11" w:name="_Toc68610471"/>
      <w:r>
        <w:t xml:space="preserve">Alt 1A where PDCCH monitoring is restricted to the beginning of an N-slot group </w:t>
      </w:r>
      <w:r w:rsidR="00FC2FCA">
        <w:t xml:space="preserve">is less flexible than Alt 2 but </w:t>
      </w:r>
      <w:r w:rsidR="0080480B">
        <w:t xml:space="preserve">has the same operational </w:t>
      </w:r>
      <w:r w:rsidR="00CC4A18">
        <w:t xml:space="preserve">flaws </w:t>
      </w:r>
      <w:r w:rsidR="00205582">
        <w:t>as Alt 2</w:t>
      </w:r>
      <w:r w:rsidR="00766013">
        <w:t xml:space="preserve"> </w:t>
      </w:r>
      <w:r w:rsidR="00CC4A18">
        <w:t>from</w:t>
      </w:r>
      <w:r w:rsidR="00766013">
        <w:t xml:space="preserve"> </w:t>
      </w:r>
      <w:r w:rsidR="00CC4A18">
        <w:t xml:space="preserve">a </w:t>
      </w:r>
      <w:r w:rsidR="00766013">
        <w:t>network</w:t>
      </w:r>
      <w:r w:rsidR="00CC4A18">
        <w:t xml:space="preserve"> perspective</w:t>
      </w:r>
      <w:r w:rsidR="00606401">
        <w:t>.</w:t>
      </w:r>
      <w:bookmarkEnd w:id="11"/>
    </w:p>
    <w:p w14:paraId="0920B275" w14:textId="2253FB36" w:rsidR="007F42F4" w:rsidRDefault="007F42F4" w:rsidP="007F42F4">
      <w:pPr>
        <w:pStyle w:val="Observation"/>
      </w:pPr>
      <w:bookmarkStart w:id="12" w:name="_Toc68610472"/>
      <w:r>
        <w:t xml:space="preserve">Alt 1B where PDCCH monitoring </w:t>
      </w:r>
      <w:r w:rsidR="00956AF3">
        <w:t>can be configured in any slot</w:t>
      </w:r>
      <w:r>
        <w:t xml:space="preserve"> of an N-slot group </w:t>
      </w:r>
      <w:r w:rsidR="00956AF3">
        <w:t>becomes operational</w:t>
      </w:r>
      <w:r w:rsidR="00E064C8">
        <w:t>ly</w:t>
      </w:r>
      <w:r w:rsidR="00956AF3">
        <w:t xml:space="preserve"> identical to Alt 3 when </w:t>
      </w:r>
      <w:r w:rsidR="00365362">
        <w:t xml:space="preserve">all </w:t>
      </w:r>
      <w:r w:rsidR="00C63A34">
        <w:t xml:space="preserve">restrictions </w:t>
      </w:r>
      <w:r w:rsidR="0066271E">
        <w:t>against</w:t>
      </w:r>
      <w:r w:rsidR="00C63A34">
        <w:t xml:space="preserve"> </w:t>
      </w:r>
      <w:r w:rsidR="00A43087">
        <w:t xml:space="preserve">local </w:t>
      </w:r>
      <w:r w:rsidR="00C63A34">
        <w:t xml:space="preserve">PDCCH </w:t>
      </w:r>
      <w:r w:rsidR="00A43087">
        <w:t>processing load</w:t>
      </w:r>
      <w:r w:rsidR="00C4188A">
        <w:t xml:space="preserve"> violations</w:t>
      </w:r>
      <w:r w:rsidR="00BF658A">
        <w:t xml:space="preserve"> are </w:t>
      </w:r>
      <w:r w:rsidR="00A26B3D">
        <w:t xml:space="preserve">put </w:t>
      </w:r>
      <w:r w:rsidR="008038B1">
        <w:t>in place</w:t>
      </w:r>
      <w:r>
        <w:t>.</w:t>
      </w:r>
      <w:bookmarkEnd w:id="12"/>
    </w:p>
    <w:p w14:paraId="05BAFC2C" w14:textId="77777777" w:rsidR="008F2DF3" w:rsidRDefault="008F2DF3" w:rsidP="00D7112B">
      <w:pPr>
        <w:pStyle w:val="BodyText"/>
      </w:pPr>
    </w:p>
    <w:p w14:paraId="64AC0157" w14:textId="57B71BBC" w:rsidR="00096C47" w:rsidRDefault="00096C47" w:rsidP="00096C47">
      <w:pPr>
        <w:pStyle w:val="Heading3"/>
      </w:pPr>
      <w:bookmarkStart w:id="13" w:name="_Toc67653042"/>
      <w:r>
        <w:t>2.</w:t>
      </w:r>
      <w:r w:rsidR="00E9206F">
        <w:t>2</w:t>
      </w:r>
      <w:r>
        <w:t>.</w:t>
      </w:r>
      <w:r w:rsidR="00247AAC">
        <w:t>2</w:t>
      </w:r>
      <w:r w:rsidRPr="00C81EDA">
        <w:tab/>
      </w:r>
      <w:r w:rsidRPr="00D23238">
        <w:t xml:space="preserve">Alt </w:t>
      </w:r>
      <w:r>
        <w:t>2</w:t>
      </w:r>
      <w:r w:rsidRPr="00D23238">
        <w:t xml:space="preserve">: </w:t>
      </w:r>
      <w:r w:rsidR="00D820E9">
        <w:t>Extension of</w:t>
      </w:r>
      <w:r w:rsidR="00C639AF">
        <w:t xml:space="preserve"> </w:t>
      </w:r>
      <w:r w:rsidR="00C639AF" w:rsidRPr="00C639AF">
        <w:rPr>
          <w:i/>
          <w:iCs/>
          <w:lang w:val="en-US"/>
        </w:rPr>
        <w:t>pdcch-Monitoring-r16</w:t>
      </w:r>
      <w:r w:rsidR="00C639AF" w:rsidRPr="00C639AF">
        <w:rPr>
          <w:lang w:val="en-US"/>
        </w:rPr>
        <w:t>, (X, Y) span</w:t>
      </w:r>
      <w:bookmarkEnd w:id="13"/>
    </w:p>
    <w:p w14:paraId="080F98D2" w14:textId="34174E5D" w:rsidR="00AD0B0A" w:rsidRDefault="00AD0B0A" w:rsidP="00D7112B">
      <w:pPr>
        <w:pStyle w:val="BodyText"/>
      </w:pPr>
      <w:r>
        <w:t xml:space="preserve">Alt 2 is based </w:t>
      </w:r>
      <w:r w:rsidR="00FE64B0">
        <w:t xml:space="preserve">on PDCCH monitoring </w:t>
      </w:r>
      <w:r w:rsidR="00FE64B0" w:rsidRPr="003D629D">
        <w:rPr>
          <w:i/>
          <w:iCs/>
        </w:rPr>
        <w:t>per-span</w:t>
      </w:r>
      <w:r w:rsidR="00FE64B0">
        <w:t xml:space="preserve"> as described in 38.213 Section 10 </w:t>
      </w:r>
      <w:r w:rsidR="00122755">
        <w:t xml:space="preserve">for the case that </w:t>
      </w:r>
      <w:r w:rsidR="00FE64B0">
        <w:t xml:space="preserve">the UE is configured with </w:t>
      </w:r>
      <w:proofErr w:type="spellStart"/>
      <w:r w:rsidR="00FE64B0" w:rsidRPr="003D629D">
        <w:rPr>
          <w:i/>
          <w:iCs/>
        </w:rPr>
        <w:t>monitoringCapabilityConfig</w:t>
      </w:r>
      <w:proofErr w:type="spellEnd"/>
      <w:r w:rsidR="00FE64B0" w:rsidRPr="00FE64B0">
        <w:t xml:space="preserve"> = </w:t>
      </w:r>
      <w:r w:rsidR="00FE64B0" w:rsidRPr="003D629D">
        <w:rPr>
          <w:i/>
          <w:iCs/>
        </w:rPr>
        <w:t>r16monitoringcapability</w:t>
      </w:r>
      <w:r w:rsidR="00FE64B0">
        <w:t>. With per-span monitoring</w:t>
      </w:r>
      <w:r w:rsidR="00122755">
        <w:t xml:space="preserve"> in Rel-16,</w:t>
      </w:r>
      <w:r>
        <w:t xml:space="preserve"> </w:t>
      </w:r>
      <w:r w:rsidR="00FE64B0">
        <w:t>several (</w:t>
      </w:r>
      <w:r w:rsidR="001E6007">
        <w:t>X</w:t>
      </w:r>
      <w:r w:rsidR="00FE64B0">
        <w:t>,Y) combinations are supported,</w:t>
      </w:r>
      <w:r w:rsidR="00635D96">
        <w:t xml:space="preserve"> specifically (2,2) (4,3) (7,3). </w:t>
      </w:r>
      <w:r w:rsidR="00003CC6">
        <w:t xml:space="preserve">All PDCCH monitoring </w:t>
      </w:r>
      <w:r w:rsidR="00576555">
        <w:t xml:space="preserve">occasions </w:t>
      </w:r>
      <w:r w:rsidR="001C6CC0">
        <w:t>shall be located within Y</w:t>
      </w:r>
      <w:r w:rsidR="001C6CC0">
        <w:t xml:space="preserve"> </w:t>
      </w:r>
      <w:r w:rsidR="00122755">
        <w:t>consecutive</w:t>
      </w:r>
      <w:r w:rsidR="001C6CC0">
        <w:t xml:space="preserve"> symbols</w:t>
      </w:r>
      <w:r w:rsidR="00CE4882">
        <w:t xml:space="preserve"> </w:t>
      </w:r>
      <w:r w:rsidR="00122755">
        <w:t>defined as the</w:t>
      </w:r>
      <w:r w:rsidR="0004227A">
        <w:t xml:space="preserve"> span</w:t>
      </w:r>
      <w:r w:rsidR="009F53D4">
        <w:t>.</w:t>
      </w:r>
      <w:r w:rsidR="00122755">
        <w:t xml:space="preserve"> For Alt-2, the same framework is proposed, </w:t>
      </w:r>
      <w:r w:rsidR="00635D96">
        <w:t>but with values of X and Y that can take values greater than 14 OS to cover several slots. W</w:t>
      </w:r>
      <w:r w:rsidR="00122755">
        <w:t xml:space="preserve">hether (X,Y) is measured in symbols or slots is still </w:t>
      </w:r>
      <w:r w:rsidR="00635D96">
        <w:t xml:space="preserve">an </w:t>
      </w:r>
      <w:r w:rsidR="00122755">
        <w:t>open</w:t>
      </w:r>
      <w:r w:rsidR="00635D96">
        <w:t xml:space="preserve"> question</w:t>
      </w:r>
      <w:r w:rsidR="009F53D4">
        <w:t>.</w:t>
      </w:r>
    </w:p>
    <w:p w14:paraId="49E58925" w14:textId="77777777" w:rsidR="00247AAC" w:rsidRPr="00585DB0" w:rsidRDefault="00247AAC" w:rsidP="00247AAC">
      <w:pPr>
        <w:pStyle w:val="BodyText"/>
        <w:rPr>
          <w:b/>
          <w:bCs/>
          <w:u w:val="single"/>
        </w:rPr>
      </w:pPr>
      <w:r w:rsidRPr="00585DB0">
        <w:rPr>
          <w:b/>
          <w:bCs/>
          <w:u w:val="single"/>
        </w:rPr>
        <w:t>In which slot(s) of a multi-slot span shall PDCCH be monitored?</w:t>
      </w:r>
    </w:p>
    <w:p w14:paraId="00E76D9F" w14:textId="71ED4B81" w:rsidR="00015582" w:rsidRDefault="001E5033" w:rsidP="00247AAC">
      <w:pPr>
        <w:pStyle w:val="BodyText"/>
      </w:pPr>
      <w:r>
        <w:t xml:space="preserve">Most </w:t>
      </w:r>
      <w:r w:rsidR="00BD4FED">
        <w:t xml:space="preserve">Alt 2 </w:t>
      </w:r>
      <w:r w:rsidR="00845532">
        <w:t xml:space="preserve">proposals </w:t>
      </w:r>
      <w:r w:rsidR="00812005">
        <w:t xml:space="preserve">have </w:t>
      </w:r>
      <w:r w:rsidR="00845532">
        <w:t xml:space="preserve">set </w:t>
      </w:r>
      <w:r w:rsidR="00812005">
        <w:t>Y&lt;X</w:t>
      </w:r>
      <w:r w:rsidR="002951D4">
        <w:t xml:space="preserve"> with Y </w:t>
      </w:r>
      <w:r w:rsidR="00F87B55">
        <w:t xml:space="preserve">mostly </w:t>
      </w:r>
      <w:r w:rsidR="002951D4">
        <w:t xml:space="preserve">restricted to no more than </w:t>
      </w:r>
      <w:r w:rsidR="0050435B">
        <w:t xml:space="preserve">one or two slots in length. </w:t>
      </w:r>
      <w:r>
        <w:t>Proponent companies</w:t>
      </w:r>
      <w:r w:rsidR="00F87B55">
        <w:t xml:space="preserve"> have illustrated the ideas with possible PDCCH </w:t>
      </w:r>
      <w:r w:rsidR="0005552C">
        <w:t xml:space="preserve">monitoring configurations such those shown in </w:t>
      </w:r>
      <w:r w:rsidR="00F626BD">
        <w:fldChar w:fldCharType="begin"/>
      </w:r>
      <w:r w:rsidR="00F626BD">
        <w:instrText xml:space="preserve"> REF _Ref67481449 \h </w:instrText>
      </w:r>
      <w:r w:rsidR="00F626BD">
        <w:fldChar w:fldCharType="separate"/>
      </w:r>
      <w:r w:rsidR="00711D1F" w:rsidRPr="009B6F32">
        <w:t xml:space="preserve">Figure </w:t>
      </w:r>
      <w:r w:rsidR="00711D1F">
        <w:rPr>
          <w:noProof/>
        </w:rPr>
        <w:t>3</w:t>
      </w:r>
      <w:r w:rsidR="00F626BD">
        <w:fldChar w:fldCharType="end"/>
      </w:r>
      <w:r w:rsidR="00F626BD">
        <w:t xml:space="preserve"> </w:t>
      </w:r>
      <w:r w:rsidR="002C47DC">
        <w:t xml:space="preserve">for the case of Y=14 OS and in </w:t>
      </w:r>
      <w:r w:rsidR="002C47DC">
        <w:fldChar w:fldCharType="begin"/>
      </w:r>
      <w:r w:rsidR="002C47DC">
        <w:instrText xml:space="preserve"> REF _Ref67488083 \h </w:instrText>
      </w:r>
      <w:r w:rsidR="002C47DC">
        <w:fldChar w:fldCharType="separate"/>
      </w:r>
      <w:r w:rsidR="00711D1F" w:rsidRPr="009B6F32">
        <w:t xml:space="preserve">Figure </w:t>
      </w:r>
      <w:r w:rsidR="00711D1F">
        <w:rPr>
          <w:noProof/>
        </w:rPr>
        <w:t>5</w:t>
      </w:r>
      <w:r w:rsidR="002C47DC">
        <w:fldChar w:fldCharType="end"/>
      </w:r>
      <w:r w:rsidR="002C47DC">
        <w:t xml:space="preserve"> for the case of Y=28 OS.</w:t>
      </w:r>
      <w:r w:rsidR="00F626BD">
        <w:t xml:space="preserve"> </w:t>
      </w:r>
    </w:p>
    <w:p w14:paraId="33EC1308" w14:textId="3CE9C911" w:rsidR="00157430" w:rsidRDefault="007A3706" w:rsidP="00247AAC">
      <w:pPr>
        <w:pStyle w:val="BodyText"/>
      </w:pPr>
      <w:r>
        <w:t xml:space="preserve">The main difference between Alt 2 and Alt </w:t>
      </w:r>
      <w:r w:rsidR="00E2468D">
        <w:t xml:space="preserve">1A </w:t>
      </w:r>
      <w:r>
        <w:t xml:space="preserve">is that </w:t>
      </w:r>
      <w:r w:rsidR="006076DC">
        <w:t xml:space="preserve">the </w:t>
      </w:r>
      <w:r w:rsidR="00BA576F">
        <w:t xml:space="preserve">time duration </w:t>
      </w:r>
      <w:r w:rsidR="006076DC">
        <w:t xml:space="preserve">X is floating/sliding </w:t>
      </w:r>
      <w:r w:rsidR="009B67C9">
        <w:t xml:space="preserve">such that Alt 2 can support PDCCH monitoring in </w:t>
      </w:r>
      <w:r w:rsidR="00954B69">
        <w:t xml:space="preserve">more flexible </w:t>
      </w:r>
      <w:r w:rsidR="009B67C9">
        <w:t>slot</w:t>
      </w:r>
      <w:r w:rsidR="00954B69">
        <w:t xml:space="preserve"> </w:t>
      </w:r>
      <w:proofErr w:type="gramStart"/>
      <w:r w:rsidR="00954B69">
        <w:t>locations.</w:t>
      </w:r>
      <w:r w:rsidR="009B67C9">
        <w:t>.</w:t>
      </w:r>
      <w:proofErr w:type="gramEnd"/>
    </w:p>
    <w:p w14:paraId="588E9673" w14:textId="47F2D733" w:rsidR="001C4A07" w:rsidRDefault="008A7B30" w:rsidP="0005552C">
      <w:pPr>
        <w:pStyle w:val="BodyText"/>
        <w:spacing w:before="120"/>
      </w:pPr>
      <w:r w:rsidRPr="008A7B30">
        <w:rPr>
          <w:noProof/>
        </w:rPr>
        <w:drawing>
          <wp:inline distT="0" distB="0" distL="0" distR="0" wp14:anchorId="198DED72" wp14:editId="69B89327">
            <wp:extent cx="6120765" cy="1688465"/>
            <wp:effectExtent l="0" t="0" r="0" b="698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688465"/>
                    </a:xfrm>
                    <a:prstGeom prst="rect">
                      <a:avLst/>
                    </a:prstGeom>
                    <a:noFill/>
                    <a:ln>
                      <a:noFill/>
                    </a:ln>
                  </pic:spPr>
                </pic:pic>
              </a:graphicData>
            </a:graphic>
          </wp:inline>
        </w:drawing>
      </w:r>
    </w:p>
    <w:p w14:paraId="3328BE84" w14:textId="1E135ABD" w:rsidR="001C4A07" w:rsidRPr="009B6F32" w:rsidRDefault="001C4A07" w:rsidP="001C4A07">
      <w:pPr>
        <w:pStyle w:val="TF"/>
        <w:rPr>
          <w:lang w:val="en-US"/>
        </w:rPr>
      </w:pPr>
      <w:bookmarkStart w:id="14" w:name="_Ref67488083"/>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711D1F">
        <w:rPr>
          <w:noProof/>
          <w:lang w:val="en-US"/>
        </w:rPr>
        <w:t>5</w:t>
      </w:r>
      <w:r w:rsidRPr="009B6F32">
        <w:rPr>
          <w:lang w:val="en-US"/>
        </w:rPr>
        <w:fldChar w:fldCharType="end"/>
      </w:r>
      <w:bookmarkEnd w:id="14"/>
      <w:r w:rsidRPr="009B6F32">
        <w:rPr>
          <w:lang w:val="en-US"/>
        </w:rPr>
        <w:t xml:space="preserve">: </w:t>
      </w:r>
      <w:r>
        <w:rPr>
          <w:lang w:val="en-US"/>
        </w:rPr>
        <w:t>M</w:t>
      </w:r>
      <w:r w:rsidRPr="009B6F32">
        <w:rPr>
          <w:lang w:val="en-US"/>
        </w:rPr>
        <w:t>ulti-slot PDCCH monitoring</w:t>
      </w:r>
      <w:r>
        <w:rPr>
          <w:lang w:val="en-US"/>
        </w:rPr>
        <w:t xml:space="preserve"> according to Alt 2 for </w:t>
      </w:r>
      <w:r w:rsidR="0016102C">
        <w:rPr>
          <w:lang w:val="en-US"/>
        </w:rPr>
        <w:t>(X=56,Y=28) OS</w:t>
      </w:r>
      <w:r w:rsidRPr="00697E8F">
        <w:t>.</w:t>
      </w:r>
    </w:p>
    <w:p w14:paraId="32A0F37D" w14:textId="77777777" w:rsidR="00247AAC" w:rsidRPr="00585DB0" w:rsidRDefault="00247AAC" w:rsidP="00247AAC">
      <w:pPr>
        <w:pStyle w:val="BodyText"/>
        <w:rPr>
          <w:b/>
          <w:bCs/>
          <w:u w:val="single"/>
        </w:rPr>
      </w:pPr>
      <w:r w:rsidRPr="00585DB0">
        <w:rPr>
          <w:b/>
          <w:bCs/>
          <w:u w:val="single"/>
        </w:rPr>
        <w:t>In which OFDM symbols of a monitored slot shall PDCCH be monitored?</w:t>
      </w:r>
    </w:p>
    <w:p w14:paraId="20DDCC08" w14:textId="678CC014" w:rsidR="003621A8" w:rsidRDefault="004D43C7" w:rsidP="00247AAC">
      <w:pPr>
        <w:pStyle w:val="BodyText"/>
      </w:pPr>
      <w:r>
        <w:t xml:space="preserve">As discussed in the last section for Alt 1A, if PDCCH monitoring is restricted to the beginning of an N-slot group, </w:t>
      </w:r>
      <w:r w:rsidR="00C132CB">
        <w:t xml:space="preserve">a UE will need to be able to monitor CSS in one CORESET and USS in a different CORESET that are not necessarily contiguous in time, either. That is, intra-slot monitoring capability </w:t>
      </w:r>
      <w:r w:rsidR="00F47B41">
        <w:t>of Y</w:t>
      </w:r>
      <w:r w:rsidR="00250E2B">
        <w:rPr>
          <w:rFonts w:ascii="Cambria Math" w:hAnsi="Cambria Math"/>
        </w:rPr>
        <w:t>≫</w:t>
      </w:r>
      <w:r w:rsidR="00250E2B">
        <w:t>3</w:t>
      </w:r>
      <w:r w:rsidR="00640ED8">
        <w:t xml:space="preserve"> OS </w:t>
      </w:r>
      <w:r w:rsidR="00C132CB">
        <w:t>support will be mandatory for Alt</w:t>
      </w:r>
      <w:r w:rsidR="00525556">
        <w:t xml:space="preserve"> 2</w:t>
      </w:r>
      <w:r w:rsidR="00C132CB">
        <w:t>.</w:t>
      </w:r>
      <w:r w:rsidR="005A10E3">
        <w:t xml:space="preserve"> This is because the UE may also need to monitor the CSS and USS in the same slot and </w:t>
      </w:r>
      <w:r w:rsidR="0004499B">
        <w:t>the SS</w:t>
      </w:r>
      <w:r w:rsidR="005A10E3">
        <w:t xml:space="preserve"> may be separated by more than </w:t>
      </w:r>
      <w:r w:rsidR="00003764">
        <w:t>3</w:t>
      </w:r>
      <w:r w:rsidR="005A10E3">
        <w:t xml:space="preserve"> OS span allowed in intra-slot Case 1-2.</w:t>
      </w:r>
    </w:p>
    <w:p w14:paraId="359C78E1" w14:textId="77777777" w:rsidR="00247AAC" w:rsidRPr="00585DB0" w:rsidRDefault="00247AAC" w:rsidP="00247AAC">
      <w:pPr>
        <w:pStyle w:val="BodyText"/>
        <w:rPr>
          <w:b/>
          <w:bCs/>
          <w:u w:val="single"/>
        </w:rPr>
      </w:pPr>
      <w:r w:rsidRPr="00585DB0">
        <w:rPr>
          <w:b/>
          <w:bCs/>
          <w:u w:val="single"/>
        </w:rPr>
        <w:t>Analysis</w:t>
      </w:r>
    </w:p>
    <w:p w14:paraId="0E26AEFD" w14:textId="77777777" w:rsidR="005B6228" w:rsidRDefault="00FA184A" w:rsidP="00C31BF9">
      <w:pPr>
        <w:pStyle w:val="BodyText"/>
      </w:pPr>
      <w:r>
        <w:t xml:space="preserve">It has been emphasized by proponent companies of Alt 2 that X is the minimum separation between the start of two consecutive spans. However, </w:t>
      </w:r>
      <w:r w:rsidR="0085244A">
        <w:t>there is not a fixed rule</w:t>
      </w:r>
      <w:r w:rsidR="00D44812">
        <w:t xml:space="preserve"> on where </w:t>
      </w:r>
      <w:r w:rsidR="002276A7">
        <w:t xml:space="preserve">this “first monitoring occasion” of a group of monitoring occasions is located. </w:t>
      </w:r>
    </w:p>
    <w:p w14:paraId="7D7685D3" w14:textId="65D7E6D1" w:rsidR="007178C8" w:rsidRDefault="008935B6" w:rsidP="00C31BF9">
      <w:pPr>
        <w:pStyle w:val="BodyText"/>
      </w:pPr>
      <w:r>
        <w:t xml:space="preserve">For example, </w:t>
      </w:r>
      <w:r w:rsidR="000C427C">
        <w:t xml:space="preserve">the PDCCH monitoring </w:t>
      </w:r>
      <w:r w:rsidR="00600323">
        <w:t xml:space="preserve">configuration </w:t>
      </w:r>
      <w:r w:rsidR="0017391B">
        <w:t xml:space="preserve">for UE5 </w:t>
      </w:r>
      <w:r w:rsidR="000C427C">
        <w:t>shown below in</w:t>
      </w:r>
      <w:r w:rsidR="005B18D0">
        <w:t xml:space="preserve"> </w:t>
      </w:r>
      <w:r w:rsidR="005B18D0">
        <w:fldChar w:fldCharType="begin"/>
      </w:r>
      <w:r w:rsidR="005B18D0">
        <w:instrText xml:space="preserve"> REF _Ref68100097 \h </w:instrText>
      </w:r>
      <w:r w:rsidR="005B18D0">
        <w:fldChar w:fldCharType="separate"/>
      </w:r>
      <w:r w:rsidR="00762A99" w:rsidRPr="009B6F32">
        <w:t xml:space="preserve">Figure </w:t>
      </w:r>
      <w:r w:rsidR="00762A99">
        <w:rPr>
          <w:noProof/>
        </w:rPr>
        <w:t>6</w:t>
      </w:r>
      <w:r w:rsidR="005B18D0">
        <w:fldChar w:fldCharType="end"/>
      </w:r>
      <w:r w:rsidR="000C427C">
        <w:fldChar w:fldCharType="begin"/>
      </w:r>
      <w:r w:rsidR="000C427C">
        <w:instrText xml:space="preserve"> REF _Ref67495153 \h </w:instrText>
      </w:r>
      <w:r w:rsidR="000C427C">
        <w:fldChar w:fldCharType="end"/>
      </w:r>
      <w:r w:rsidR="000C427C">
        <w:t xml:space="preserve"> </w:t>
      </w:r>
      <w:r w:rsidR="00680EBA">
        <w:t xml:space="preserve">seems to be </w:t>
      </w:r>
      <w:r w:rsidR="000C427C">
        <w:t xml:space="preserve">forbidden under Alt 2 (X=56, Y=28) according to </w:t>
      </w:r>
      <w:r w:rsidR="00680EBA">
        <w:t xml:space="preserve">the </w:t>
      </w:r>
      <w:r w:rsidR="00005C57">
        <w:t>delineation of monitoring occasion groups also shown in the figure.</w:t>
      </w:r>
    </w:p>
    <w:p w14:paraId="57C8AE49" w14:textId="1AC22D1B" w:rsidR="007178C8" w:rsidRDefault="008E3070" w:rsidP="00CE0733">
      <w:pPr>
        <w:pStyle w:val="BodyText"/>
        <w:spacing w:before="120"/>
        <w:rPr>
          <w:noProof/>
        </w:rPr>
      </w:pPr>
      <w:r w:rsidRPr="008E3070">
        <w:rPr>
          <w:noProof/>
        </w:rPr>
        <w:drawing>
          <wp:inline distT="0" distB="0" distL="0" distR="0" wp14:anchorId="4960EE11" wp14:editId="4E0A229C">
            <wp:extent cx="6120765" cy="7188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0EB9966A" w14:textId="0F67FB58" w:rsidR="0092052D" w:rsidRPr="00AC3542" w:rsidRDefault="0092052D" w:rsidP="0092052D">
      <w:pPr>
        <w:pStyle w:val="TF"/>
        <w:jc w:val="both"/>
        <w:rPr>
          <w:lang w:val="en-US"/>
        </w:rPr>
      </w:pPr>
      <w:bookmarkStart w:id="15" w:name="_Ref68100097"/>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762A99">
        <w:rPr>
          <w:noProof/>
          <w:lang w:val="en-US"/>
        </w:rPr>
        <w:t>6</w:t>
      </w:r>
      <w:r w:rsidRPr="009B6F32">
        <w:rPr>
          <w:lang w:val="en-US"/>
        </w:rPr>
        <w:fldChar w:fldCharType="end"/>
      </w:r>
      <w:bookmarkEnd w:id="15"/>
      <w:r w:rsidRPr="009B6F32">
        <w:rPr>
          <w:lang w:val="en-US"/>
        </w:rPr>
        <w:t xml:space="preserve">: </w:t>
      </w:r>
      <w:r>
        <w:rPr>
          <w:lang w:val="en-US"/>
        </w:rPr>
        <w:t>Is this type of m</w:t>
      </w:r>
      <w:r w:rsidRPr="009B6F32">
        <w:rPr>
          <w:lang w:val="en-US"/>
        </w:rPr>
        <w:t>ulti-slot PDCCH monitoring</w:t>
      </w:r>
      <w:r>
        <w:rPr>
          <w:lang w:val="en-US"/>
        </w:rPr>
        <w:t xml:space="preserve"> </w:t>
      </w:r>
      <w:r w:rsidR="001945C3">
        <w:t xml:space="preserve">configuration </w:t>
      </w:r>
      <w:r w:rsidR="001945C3">
        <w:rPr>
          <w:lang w:val="en-US"/>
        </w:rPr>
        <w:t>NOT</w:t>
      </w:r>
      <w:r w:rsidR="003A15D5">
        <w:rPr>
          <w:lang w:val="en-US"/>
        </w:rPr>
        <w:t xml:space="preserve"> </w:t>
      </w:r>
      <w:r>
        <w:rPr>
          <w:lang w:val="en-US"/>
        </w:rPr>
        <w:t>supported according to Alt 2 for (X=56,</w:t>
      </w:r>
      <w:r w:rsidR="00EF776E">
        <w:rPr>
          <w:lang w:val="en-US"/>
        </w:rPr>
        <w:t xml:space="preserve"> </w:t>
      </w:r>
      <w:r>
        <w:rPr>
          <w:lang w:val="en-US"/>
        </w:rPr>
        <w:t>Y=28) OS?</w:t>
      </w:r>
    </w:p>
    <w:p w14:paraId="0C4B0AC2" w14:textId="65952F20" w:rsidR="004B0058" w:rsidRDefault="009C381D" w:rsidP="00C31BF9">
      <w:pPr>
        <w:pStyle w:val="BodyText"/>
      </w:pPr>
      <w:r>
        <w:t xml:space="preserve">However, the same PDCCH monitoring configuration </w:t>
      </w:r>
      <w:r w:rsidR="00005C57">
        <w:t>becomes</w:t>
      </w:r>
      <w:r w:rsidR="009A7CEF">
        <w:t xml:space="preserve"> allowed </w:t>
      </w:r>
      <w:r w:rsidR="00005C57">
        <w:t xml:space="preserve">under Alt 2 (X=56, Y=28) when viewed according to the alternative delineation of monitoring occasion groups shown in </w:t>
      </w:r>
      <w:r w:rsidR="005B18D0">
        <w:fldChar w:fldCharType="begin"/>
      </w:r>
      <w:r w:rsidR="005B18D0">
        <w:instrText xml:space="preserve"> REF _Ref68100106 \h </w:instrText>
      </w:r>
      <w:r w:rsidR="005B18D0">
        <w:fldChar w:fldCharType="separate"/>
      </w:r>
      <w:r w:rsidR="00762A99" w:rsidRPr="009B6F32">
        <w:t xml:space="preserve">Figure </w:t>
      </w:r>
      <w:r w:rsidR="00762A99">
        <w:rPr>
          <w:noProof/>
        </w:rPr>
        <w:t>7</w:t>
      </w:r>
      <w:r w:rsidR="005B18D0">
        <w:fldChar w:fldCharType="end"/>
      </w:r>
      <w:r w:rsidR="00005C57">
        <w:fldChar w:fldCharType="begin"/>
      </w:r>
      <w:r w:rsidR="00005C57">
        <w:instrText xml:space="preserve"> REF _Ref67495528 \h </w:instrText>
      </w:r>
      <w:r w:rsidR="00005C57">
        <w:fldChar w:fldCharType="end"/>
      </w:r>
      <w:r w:rsidR="00005C57">
        <w:t>.</w:t>
      </w:r>
    </w:p>
    <w:p w14:paraId="4D27DDC9" w14:textId="34C48C08" w:rsidR="00005C57" w:rsidRDefault="000A5F04" w:rsidP="00CE0733">
      <w:pPr>
        <w:pStyle w:val="BodyText"/>
        <w:spacing w:before="120"/>
        <w:rPr>
          <w:noProof/>
        </w:rPr>
      </w:pPr>
      <w:r w:rsidRPr="000A5F04">
        <w:rPr>
          <w:noProof/>
        </w:rPr>
        <w:drawing>
          <wp:inline distT="0" distB="0" distL="0" distR="0" wp14:anchorId="102FEEC2" wp14:editId="63B28702">
            <wp:extent cx="6120765" cy="7188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1DC2C8E7" w14:textId="79D3D427" w:rsidR="00005C57" w:rsidRPr="00AC3542" w:rsidRDefault="00005C57" w:rsidP="00005C57">
      <w:pPr>
        <w:pStyle w:val="TF"/>
        <w:jc w:val="both"/>
        <w:rPr>
          <w:lang w:val="en-US"/>
        </w:rPr>
      </w:pPr>
      <w:bookmarkStart w:id="16" w:name="_Ref68100106"/>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762A99">
        <w:rPr>
          <w:noProof/>
          <w:lang w:val="en-US"/>
        </w:rPr>
        <w:t>7</w:t>
      </w:r>
      <w:r w:rsidRPr="009B6F32">
        <w:rPr>
          <w:lang w:val="en-US"/>
        </w:rPr>
        <w:fldChar w:fldCharType="end"/>
      </w:r>
      <w:bookmarkEnd w:id="16"/>
      <w:r w:rsidRPr="009B6F32">
        <w:rPr>
          <w:lang w:val="en-US"/>
        </w:rPr>
        <w:t xml:space="preserve">: </w:t>
      </w:r>
      <w:r>
        <w:rPr>
          <w:lang w:val="en-US"/>
        </w:rPr>
        <w:t>Is this type of m</w:t>
      </w:r>
      <w:r w:rsidRPr="009B6F32">
        <w:rPr>
          <w:lang w:val="en-US"/>
        </w:rPr>
        <w:t>ulti-slot PDCCH monitoring</w:t>
      </w:r>
      <w:r>
        <w:rPr>
          <w:lang w:val="en-US"/>
        </w:rPr>
        <w:t xml:space="preserve"> </w:t>
      </w:r>
      <w:r w:rsidR="001945C3">
        <w:t xml:space="preserve">configuration </w:t>
      </w:r>
      <w:r>
        <w:rPr>
          <w:lang w:val="en-US"/>
        </w:rPr>
        <w:t>supported according to Alt 2 for (X=56,</w:t>
      </w:r>
      <w:r w:rsidR="003A15D5">
        <w:rPr>
          <w:lang w:val="en-US"/>
        </w:rPr>
        <w:t xml:space="preserve"> </w:t>
      </w:r>
      <w:r>
        <w:rPr>
          <w:lang w:val="en-US"/>
        </w:rPr>
        <w:t>Y=28) OS?</w:t>
      </w:r>
    </w:p>
    <w:p w14:paraId="48EFDD2A" w14:textId="77777777" w:rsidR="0024081D" w:rsidRDefault="00983C15" w:rsidP="00C31BF9">
      <w:pPr>
        <w:pStyle w:val="BodyText"/>
      </w:pPr>
      <w:r>
        <w:t xml:space="preserve">In summary, </w:t>
      </w:r>
      <w:r w:rsidR="00E62F2F">
        <w:t xml:space="preserve">whether a particular PDCCH monitoring configuration </w:t>
      </w:r>
      <w:r w:rsidR="00475AD3">
        <w:t xml:space="preserve">is allowed under Alt 2 requires </w:t>
      </w:r>
      <w:r w:rsidR="00FE7E4F">
        <w:t>PDCCH processing load checking</w:t>
      </w:r>
      <w:r w:rsidR="00971D54">
        <w:t xml:space="preserve"> according to </w:t>
      </w:r>
      <w:r w:rsidR="00E00794">
        <w:t xml:space="preserve">several </w:t>
      </w:r>
      <w:r w:rsidR="00B63FFC">
        <w:t xml:space="preserve">different delineations of monitoring occasion groups. </w:t>
      </w:r>
      <w:r w:rsidR="0024081D">
        <w:t xml:space="preserve">The questions are then </w:t>
      </w:r>
    </w:p>
    <w:p w14:paraId="0D9D2C62" w14:textId="48719863" w:rsidR="0092052D" w:rsidRDefault="005B31F4" w:rsidP="0024081D">
      <w:pPr>
        <w:pStyle w:val="BodyText"/>
        <w:numPr>
          <w:ilvl w:val="0"/>
          <w:numId w:val="46"/>
        </w:numPr>
      </w:pPr>
      <w:r>
        <w:t>What is the complexity of searching through all these possible delineations?</w:t>
      </w:r>
    </w:p>
    <w:p w14:paraId="081B756F" w14:textId="075368C2" w:rsidR="0024081D" w:rsidRDefault="0024081D" w:rsidP="00CE0733">
      <w:pPr>
        <w:pStyle w:val="BodyText"/>
        <w:numPr>
          <w:ilvl w:val="0"/>
          <w:numId w:val="46"/>
        </w:numPr>
      </w:pPr>
      <w:r>
        <w:t>How different is this searching through all possible delineations of monitoring occasion groups than the sliding windows of Alt 3?</w:t>
      </w:r>
    </w:p>
    <w:p w14:paraId="67FE05EC" w14:textId="601541FF" w:rsidR="00A00E20" w:rsidRDefault="00DC1A4F" w:rsidP="00C31BF9">
      <w:pPr>
        <w:pStyle w:val="BodyText"/>
      </w:pPr>
      <w:r>
        <w:t xml:space="preserve">The monitoring occasion group delineation question is important to clarify because it affects the range of possible PDCCH monitoring configurations. The principle of determining why </w:t>
      </w:r>
      <w:r w:rsidR="007D651A">
        <w:t xml:space="preserve">a certain </w:t>
      </w:r>
      <w:r>
        <w:t>configuration is or is not allowed should also be clarified in RAN1</w:t>
      </w:r>
      <w:r w:rsidR="005D5CFB">
        <w:t>.</w:t>
      </w:r>
    </w:p>
    <w:p w14:paraId="698E256C" w14:textId="432ECA28" w:rsidR="00DC709C" w:rsidRDefault="00DC709C" w:rsidP="00C31BF9">
      <w:pPr>
        <w:pStyle w:val="BodyText"/>
      </w:pPr>
      <w:r>
        <w:t xml:space="preserve">Furthermore, the ambiguity of the “first monitoring occasion” of a group of monitoring occasions or the monitoring occasion group delineation question also bring issues to how PDCCH overbooking/dropping is to be handled correctly under Alt 2. For the same PDCCH monitoring configuration, some USS may be dropped according to one delineation of monitoring occasion groups (e.g., </w:t>
      </w:r>
      <w:r>
        <w:fldChar w:fldCharType="begin"/>
      </w:r>
      <w:r>
        <w:instrText xml:space="preserve"> REF _Ref68100097 \h </w:instrText>
      </w:r>
      <w:r>
        <w:fldChar w:fldCharType="separate"/>
      </w:r>
      <w:r w:rsidR="00762A99" w:rsidRPr="009B6F32">
        <w:t xml:space="preserve">Figure </w:t>
      </w:r>
      <w:r w:rsidR="00762A99">
        <w:rPr>
          <w:noProof/>
        </w:rPr>
        <w:t>6</w:t>
      </w:r>
      <w:r>
        <w:fldChar w:fldCharType="end"/>
      </w:r>
      <w:r>
        <w:t xml:space="preserve">) but not dropped according to another (e.g., </w:t>
      </w:r>
      <w:r>
        <w:fldChar w:fldCharType="begin"/>
      </w:r>
      <w:r>
        <w:instrText xml:space="preserve"> REF _Ref68100106 \h </w:instrText>
      </w:r>
      <w:r>
        <w:fldChar w:fldCharType="separate"/>
      </w:r>
      <w:r w:rsidR="00762A99" w:rsidRPr="009B6F32">
        <w:t xml:space="preserve">Figure </w:t>
      </w:r>
      <w:r w:rsidR="00762A99">
        <w:rPr>
          <w:noProof/>
        </w:rPr>
        <w:t>7</w:t>
      </w:r>
      <w:r>
        <w:fldChar w:fldCharType="end"/>
      </w:r>
      <w:r>
        <w:t>).</w:t>
      </w:r>
    </w:p>
    <w:p w14:paraId="2F4F999D" w14:textId="469162A5" w:rsidR="007D588A" w:rsidRDefault="00996B08" w:rsidP="00161439">
      <w:pPr>
        <w:pStyle w:val="BodyText"/>
      </w:pPr>
      <w:r>
        <w:t>Another issue with Alt-2 is that w</w:t>
      </w:r>
      <w:r w:rsidR="007D588A">
        <w:t xml:space="preserve">ith small Y values, </w:t>
      </w:r>
      <w:r w:rsidR="003E0AB4">
        <w:t xml:space="preserve">Alt 2 places stringent limitations on how the network can configure </w:t>
      </w:r>
      <w:r w:rsidR="005F312B">
        <w:t xml:space="preserve">PDCCH </w:t>
      </w:r>
      <w:r w:rsidR="003E0AB4">
        <w:t xml:space="preserve">monitoring </w:t>
      </w:r>
      <w:r w:rsidR="005F312B">
        <w:t>occasions</w:t>
      </w:r>
      <w:r w:rsidR="003F335B">
        <w:t xml:space="preserve">. All </w:t>
      </w:r>
      <w:r w:rsidR="00486B4D">
        <w:t>U</w:t>
      </w:r>
      <w:r w:rsidR="003F335B">
        <w:t xml:space="preserve">SS </w:t>
      </w:r>
      <w:r w:rsidR="00862005">
        <w:t xml:space="preserve">need to be aligned </w:t>
      </w:r>
      <w:r w:rsidR="00D71331">
        <w:t xml:space="preserve">closely </w:t>
      </w:r>
      <w:r w:rsidR="00862005">
        <w:t xml:space="preserve">with </w:t>
      </w:r>
      <w:r w:rsidR="00D71331">
        <w:t>the CSS</w:t>
      </w:r>
      <w:r w:rsidR="008F274D">
        <w:t xml:space="preserve"> in contrast with</w:t>
      </w:r>
      <w:r w:rsidR="000E7ED2">
        <w:t xml:space="preserve"> beneficial flexibility </w:t>
      </w:r>
      <w:r w:rsidR="00266EEE">
        <w:t>principles discussed in Section 2.1</w:t>
      </w:r>
      <w:r w:rsidR="00D71331">
        <w:t>. It is not possible for the network</w:t>
      </w:r>
      <w:r w:rsidR="00D71331">
        <w:t xml:space="preserve"> </w:t>
      </w:r>
      <w:r w:rsidR="00B81008">
        <w:t>to</w:t>
      </w:r>
      <w:r w:rsidR="00D71331">
        <w:t xml:space="preserve"> </w:t>
      </w:r>
      <w:r w:rsidR="00862894">
        <w:t>optimize the various requirements from different UEs and network in terms of capabilities, latency requirements and PDCCH resource capacities.</w:t>
      </w:r>
    </w:p>
    <w:p w14:paraId="607E1247" w14:textId="26E242A8" w:rsidR="003F058F" w:rsidRDefault="004B2FC0" w:rsidP="00C31BF9">
      <w:pPr>
        <w:pStyle w:val="BodyText"/>
      </w:pPr>
      <w:r>
        <w:t xml:space="preserve">Finally, </w:t>
      </w:r>
      <w:r w:rsidR="00BB1C2D">
        <w:t xml:space="preserve">there is uncertainty </w:t>
      </w:r>
      <w:r w:rsidR="00A12263">
        <w:t xml:space="preserve">as to whether the </w:t>
      </w:r>
      <w:r w:rsidR="000B2746">
        <w:t xml:space="preserve">(X, Y) span requirement is </w:t>
      </w:r>
      <w:proofErr w:type="gramStart"/>
      <w:r w:rsidR="00343CC8">
        <w:t xml:space="preserve">really </w:t>
      </w:r>
      <w:r w:rsidR="000B2746">
        <w:t>complete</w:t>
      </w:r>
      <w:proofErr w:type="gramEnd"/>
      <w:r w:rsidR="000B2746">
        <w:t xml:space="preserve"> on its own. That is, it is not clear whether Alt 2 might still have local PDCCH processing overloading issues as Alt 1B. One example for Alt 2 (X=56, Y=28) is illustrated in </w:t>
      </w:r>
      <w:r w:rsidR="000B2746">
        <w:fldChar w:fldCharType="begin"/>
      </w:r>
      <w:r w:rsidR="000B2746">
        <w:instrText xml:space="preserve"> REF _Ref67495825 \h </w:instrText>
      </w:r>
      <w:r w:rsidR="000B2746">
        <w:fldChar w:fldCharType="separate"/>
      </w:r>
      <w:r w:rsidR="00711D1F" w:rsidRPr="009B6F32">
        <w:t xml:space="preserve">Figure </w:t>
      </w:r>
      <w:r w:rsidR="00711D1F">
        <w:rPr>
          <w:noProof/>
        </w:rPr>
        <w:t>8</w:t>
      </w:r>
      <w:r w:rsidR="000B2746">
        <w:fldChar w:fldCharType="end"/>
      </w:r>
      <w:r w:rsidR="000B2746">
        <w:t>.</w:t>
      </w:r>
      <w:r w:rsidR="002568C0">
        <w:t xml:space="preserve"> It</w:t>
      </w:r>
      <w:r w:rsidR="0008555D">
        <w:t xml:space="preserve"> can </w:t>
      </w:r>
      <w:r w:rsidR="00EC4D79">
        <w:t>be observed</w:t>
      </w:r>
      <w:r w:rsidR="002B7484">
        <w:t xml:space="preserve"> that </w:t>
      </w:r>
      <w:r w:rsidR="007A0791">
        <w:t xml:space="preserve">all spans have their beginnings separated by X=56 OS </w:t>
      </w:r>
      <w:r w:rsidR="00BE230C">
        <w:t xml:space="preserve">according to the </w:t>
      </w:r>
      <w:r w:rsidR="00A732E3">
        <w:t xml:space="preserve">top delineation of monitoring occasion groups </w:t>
      </w:r>
      <w:r w:rsidR="00BE230C">
        <w:t xml:space="preserve">illustrated in the figure. </w:t>
      </w:r>
      <w:r w:rsidR="00E75881">
        <w:t>I</w:t>
      </w:r>
      <w:r w:rsidR="0069038E">
        <w:t xml:space="preserve">t can also be observed that </w:t>
      </w:r>
      <w:r w:rsidR="00EC4D79">
        <w:t xml:space="preserve">the </w:t>
      </w:r>
      <w:r w:rsidR="00A302E3">
        <w:t xml:space="preserve">UE </w:t>
      </w:r>
      <w:r w:rsidR="00EC4D79">
        <w:t xml:space="preserve">PDCCH processing </w:t>
      </w:r>
      <w:r w:rsidR="00A302E3">
        <w:t xml:space="preserve">capabilities </w:t>
      </w:r>
      <w:r w:rsidR="00AA2B6F">
        <w:t xml:space="preserve">are honored </w:t>
      </w:r>
      <w:r w:rsidR="0069038E">
        <w:t>in every span</w:t>
      </w:r>
      <w:r w:rsidR="00C37043">
        <w:t xml:space="preserve">. However, </w:t>
      </w:r>
    </w:p>
    <w:p w14:paraId="1E0034CF" w14:textId="5123FD7F" w:rsidR="003F058F" w:rsidRDefault="003F058F" w:rsidP="003F058F">
      <w:pPr>
        <w:pStyle w:val="BodyText"/>
        <w:numPr>
          <w:ilvl w:val="0"/>
          <w:numId w:val="47"/>
        </w:numPr>
      </w:pPr>
      <w:r>
        <w:t>I</w:t>
      </w:r>
      <w:r w:rsidR="00D51103">
        <w:t xml:space="preserve">s there </w:t>
      </w:r>
      <w:r w:rsidR="003406EA">
        <w:t xml:space="preserve">a </w:t>
      </w:r>
      <w:r w:rsidR="00D51103">
        <w:t xml:space="preserve">consensus that </w:t>
      </w:r>
      <w:r w:rsidR="00B12027">
        <w:t xml:space="preserve">this type of </w:t>
      </w:r>
      <w:r w:rsidR="00B12027" w:rsidRPr="009B6F32">
        <w:t>PDCCH monitoring</w:t>
      </w:r>
      <w:r w:rsidR="00B12027">
        <w:t xml:space="preserve"> configuration is </w:t>
      </w:r>
      <w:r w:rsidR="008B3139">
        <w:t xml:space="preserve">really </w:t>
      </w:r>
      <w:r w:rsidR="00B12027">
        <w:t>allowed under Alt 2</w:t>
      </w:r>
      <w:r w:rsidR="00C209D4">
        <w:t xml:space="preserve"> amongst all the Alt 2 proponent companies? </w:t>
      </w:r>
    </w:p>
    <w:p w14:paraId="7CA833AF" w14:textId="23F25ED5" w:rsidR="003F058F" w:rsidRDefault="00A02228" w:rsidP="003F058F">
      <w:pPr>
        <w:pStyle w:val="BodyText"/>
        <w:numPr>
          <w:ilvl w:val="0"/>
          <w:numId w:val="47"/>
        </w:numPr>
      </w:pPr>
      <w:r>
        <w:t xml:space="preserve">Will there be a need to add additional monitoring occasion restrictions (i.e., additional sliding </w:t>
      </w:r>
      <w:r w:rsidR="000A4CBE">
        <w:t xml:space="preserve">window positions </w:t>
      </w:r>
      <w:r w:rsidR="002E0FB4">
        <w:t>as shown in the figure</w:t>
      </w:r>
      <w:r>
        <w:t xml:space="preserve">) to Alt 2 as </w:t>
      </w:r>
      <w:r w:rsidR="004D1929">
        <w:t>needed for Alt 1B?</w:t>
      </w:r>
      <w:r w:rsidR="00297372">
        <w:t xml:space="preserve"> </w:t>
      </w:r>
    </w:p>
    <w:p w14:paraId="2232A5DA" w14:textId="08F6BC73" w:rsidR="00DD7900" w:rsidRDefault="00A06EA5" w:rsidP="00CE0733">
      <w:pPr>
        <w:pStyle w:val="BodyText"/>
        <w:numPr>
          <w:ilvl w:val="0"/>
          <w:numId w:val="47"/>
        </w:numPr>
      </w:pPr>
      <w:r>
        <w:t xml:space="preserve">Will </w:t>
      </w:r>
      <w:r w:rsidR="00E50C8E">
        <w:t>implementation difficulties be discovered much later and lead</w:t>
      </w:r>
      <w:r w:rsidR="00012C3F">
        <w:t xml:space="preserve"> to extensive </w:t>
      </w:r>
      <w:r w:rsidR="001D7EB5">
        <w:t>change requests in the maintenance phase?</w:t>
      </w:r>
    </w:p>
    <w:p w14:paraId="5AA5F1A6" w14:textId="77777777" w:rsidR="00C31BF9" w:rsidRDefault="00C31BF9" w:rsidP="00C31BF9">
      <w:pPr>
        <w:pStyle w:val="BodyText"/>
        <w:spacing w:before="120"/>
      </w:pPr>
      <w:r w:rsidRPr="00760690">
        <w:rPr>
          <w:noProof/>
        </w:rPr>
        <w:drawing>
          <wp:inline distT="0" distB="0" distL="0" distR="0" wp14:anchorId="0126FE43" wp14:editId="4FF50ADC">
            <wp:extent cx="6120765" cy="8458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845820"/>
                    </a:xfrm>
                    <a:prstGeom prst="rect">
                      <a:avLst/>
                    </a:prstGeom>
                    <a:noFill/>
                    <a:ln>
                      <a:noFill/>
                    </a:ln>
                  </pic:spPr>
                </pic:pic>
              </a:graphicData>
            </a:graphic>
          </wp:inline>
        </w:drawing>
      </w:r>
    </w:p>
    <w:p w14:paraId="2B344725" w14:textId="242CE227" w:rsidR="00C31BF9" w:rsidRPr="00AC3542" w:rsidRDefault="00C31BF9" w:rsidP="00C31BF9">
      <w:pPr>
        <w:pStyle w:val="TF"/>
        <w:jc w:val="both"/>
        <w:rPr>
          <w:lang w:val="en-US"/>
        </w:rPr>
      </w:pPr>
      <w:bookmarkStart w:id="17" w:name="_Ref67495825"/>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711D1F">
        <w:rPr>
          <w:noProof/>
          <w:lang w:val="en-US"/>
        </w:rPr>
        <w:t>8</w:t>
      </w:r>
      <w:r w:rsidRPr="009B6F32">
        <w:rPr>
          <w:lang w:val="en-US"/>
        </w:rPr>
        <w:fldChar w:fldCharType="end"/>
      </w:r>
      <w:bookmarkEnd w:id="17"/>
      <w:r w:rsidRPr="009B6F32">
        <w:rPr>
          <w:lang w:val="en-US"/>
        </w:rPr>
        <w:t xml:space="preserve">: </w:t>
      </w:r>
      <w:r>
        <w:rPr>
          <w:lang w:val="en-US"/>
        </w:rPr>
        <w:t>Is this type of m</w:t>
      </w:r>
      <w:r w:rsidRPr="009B6F32">
        <w:rPr>
          <w:lang w:val="en-US"/>
        </w:rPr>
        <w:t>ulti-slot PDCCH monitoring</w:t>
      </w:r>
      <w:r>
        <w:rPr>
          <w:lang w:val="en-US"/>
        </w:rPr>
        <w:t xml:space="preserve"> supported according to Alt 2 for </w:t>
      </w:r>
      <w:r w:rsidR="00E22D8F">
        <w:rPr>
          <w:lang w:val="en-US"/>
        </w:rPr>
        <w:t>(X=56,Y=28)</w:t>
      </w:r>
      <w:r>
        <w:rPr>
          <w:lang w:val="en-US"/>
        </w:rPr>
        <w:t xml:space="preserve"> OS? Is there a need to add additional monitoring occasion restrictions (i.e., additional set of sliding windows) to Alt 2?</w:t>
      </w:r>
    </w:p>
    <w:p w14:paraId="0F9A281E" w14:textId="77777777" w:rsidR="00C31BF9" w:rsidRDefault="00C31BF9" w:rsidP="00C31BF9">
      <w:pPr>
        <w:pStyle w:val="BodyText"/>
      </w:pPr>
    </w:p>
    <w:p w14:paraId="20F2EFED" w14:textId="5E418712" w:rsidR="00360CAC" w:rsidRDefault="00360CAC" w:rsidP="00360CAC">
      <w:pPr>
        <w:pStyle w:val="Observation"/>
      </w:pPr>
      <w:bookmarkStart w:id="18" w:name="_Toc68610473"/>
      <w:r>
        <w:t xml:space="preserve">Alt 2 (and Alt 1A) requires the UE to support intra-slot </w:t>
      </w:r>
      <w:r w:rsidR="00481F5D">
        <w:t>monitoring</w:t>
      </w:r>
      <w:r w:rsidR="00A03E7A">
        <w:t xml:space="preserve"> </w:t>
      </w:r>
      <w:r w:rsidR="00481F5D">
        <w:t>capability</w:t>
      </w:r>
      <w:r w:rsidR="00A03E7A">
        <w:t xml:space="preserve"> of Y</w:t>
      </w:r>
      <w:r w:rsidR="0064053B">
        <w:rPr>
          <w:rFonts w:ascii="Cambria Math" w:hAnsi="Cambria Math"/>
        </w:rPr>
        <w:t>≫</w:t>
      </w:r>
      <w:r w:rsidR="0064053B">
        <w:t xml:space="preserve">3 </w:t>
      </w:r>
      <w:r w:rsidR="00A03E7A">
        <w:t>OS</w:t>
      </w:r>
      <w:r>
        <w:t>.</w:t>
      </w:r>
      <w:bookmarkEnd w:id="18"/>
    </w:p>
    <w:p w14:paraId="0A87F6F9" w14:textId="747A35CD" w:rsidR="00E359A1" w:rsidRDefault="00E359A1" w:rsidP="00E359A1">
      <w:pPr>
        <w:pStyle w:val="Observation"/>
      </w:pPr>
      <w:bookmarkStart w:id="19" w:name="_Toc68610474"/>
      <w:r>
        <w:t xml:space="preserve">Alt 1A or Alt 2 with small Y values places stringent limitations on how the network can configure PDCCH monitoring occasions: </w:t>
      </w:r>
      <w:r w:rsidR="002558B9">
        <w:t>forcing USS to be aligned closely with the CSS</w:t>
      </w:r>
      <w:r w:rsidR="008841FA">
        <w:t xml:space="preserve">. </w:t>
      </w:r>
      <w:r w:rsidR="002A5585">
        <w:t>It substantially suppress</w:t>
      </w:r>
      <w:r w:rsidR="00184217">
        <w:t>es</w:t>
      </w:r>
      <w:r w:rsidR="002A5585">
        <w:t xml:space="preserve"> the network’s </w:t>
      </w:r>
      <w:r w:rsidR="00CC05B6">
        <w:t>potential to</w:t>
      </w:r>
      <w:r w:rsidR="002A5585">
        <w:t xml:space="preserve"> optimize the various requirements from different UEs and </w:t>
      </w:r>
      <w:r w:rsidR="00EE77D6">
        <w:t xml:space="preserve">the </w:t>
      </w:r>
      <w:r w:rsidR="002A5585">
        <w:t>network in terms of capabilities, latency requirements and PDCCH resource capacities.</w:t>
      </w:r>
      <w:bookmarkEnd w:id="19"/>
    </w:p>
    <w:p w14:paraId="6A0A3EEF" w14:textId="165EBEA3" w:rsidR="00DA0DC3" w:rsidRDefault="00DA0DC3" w:rsidP="00360CAC">
      <w:pPr>
        <w:pStyle w:val="Observation"/>
      </w:pPr>
      <w:bookmarkStart w:id="20" w:name="_Toc68610475"/>
      <w:r>
        <w:t xml:space="preserve">There </w:t>
      </w:r>
      <w:r w:rsidR="00D13071">
        <w:t xml:space="preserve">are multiple possible </w:t>
      </w:r>
      <w:r w:rsidR="00F6151A">
        <w:t>“first monitoring occasion</w:t>
      </w:r>
      <w:r w:rsidR="00B21F5E">
        <w:t>s</w:t>
      </w:r>
      <w:r w:rsidR="00F6151A">
        <w:t>” of group</w:t>
      </w:r>
      <w:r w:rsidR="00B21F5E">
        <w:t>s</w:t>
      </w:r>
      <w:r w:rsidR="00F6151A">
        <w:t xml:space="preserve"> of monitoring occasions</w:t>
      </w:r>
      <w:r w:rsidR="00F6151A">
        <w:t xml:space="preserve"> </w:t>
      </w:r>
      <w:r w:rsidR="00B21F5E">
        <w:t>or, e</w:t>
      </w:r>
      <w:r w:rsidR="001169FF">
        <w:t xml:space="preserve">quivalently, </w:t>
      </w:r>
      <w:r w:rsidR="007B7B98">
        <w:t>multiple</w:t>
      </w:r>
      <w:r w:rsidR="001169FF">
        <w:t xml:space="preserve"> </w:t>
      </w:r>
      <w:r w:rsidR="001169FF">
        <w:t>delineation</w:t>
      </w:r>
      <w:r w:rsidR="007B7B98">
        <w:t>s</w:t>
      </w:r>
      <w:r w:rsidR="001169FF">
        <w:t xml:space="preserve"> of monitoring occasion groups</w:t>
      </w:r>
      <w:r w:rsidR="002B7CA5">
        <w:t xml:space="preserve"> that can give opposite </w:t>
      </w:r>
      <w:r w:rsidR="001415B6">
        <w:t>answers to whether a particular PDCCH monitoring configuration is allowed or not.</w:t>
      </w:r>
      <w:r w:rsidR="00FB7F8F">
        <w:t xml:space="preserve"> </w:t>
      </w:r>
      <w:r w:rsidR="00BE13AB">
        <w:t xml:space="preserve">It is necessary to </w:t>
      </w:r>
      <w:r w:rsidR="00E45463">
        <w:t xml:space="preserve">check </w:t>
      </w:r>
      <w:r w:rsidR="00BE13AB">
        <w:t xml:space="preserve">several different delineations of monitoring occasion groups </w:t>
      </w:r>
      <w:r w:rsidR="000A33F7">
        <w:t xml:space="preserve">under Alt 2 which </w:t>
      </w:r>
      <w:r w:rsidR="00E45463">
        <w:t xml:space="preserve">brings about complexity and similarity to Alt 3. The multiple possible </w:t>
      </w:r>
      <w:r w:rsidR="0066360D">
        <w:t xml:space="preserve">delineations </w:t>
      </w:r>
      <w:r w:rsidR="004F0F61">
        <w:t>also</w:t>
      </w:r>
      <w:r w:rsidR="004F0F61">
        <w:t xml:space="preserve"> </w:t>
      </w:r>
      <w:r w:rsidR="0066360D">
        <w:t>raise</w:t>
      </w:r>
      <w:r w:rsidR="004F0F61">
        <w:t xml:space="preserve"> issues </w:t>
      </w:r>
      <w:r w:rsidR="0066360D">
        <w:t xml:space="preserve">on </w:t>
      </w:r>
      <w:r w:rsidR="004F0F61">
        <w:t>how exactly to handle PDCCH overbooking/dropping under Alt 2.</w:t>
      </w:r>
      <w:bookmarkEnd w:id="20"/>
    </w:p>
    <w:p w14:paraId="7A98C076" w14:textId="5AE00304" w:rsidR="00622601" w:rsidRDefault="00622601" w:rsidP="00622601">
      <w:pPr>
        <w:pStyle w:val="Observation"/>
      </w:pPr>
      <w:bookmarkStart w:id="21" w:name="_Toc68610476"/>
      <w:r>
        <w:t xml:space="preserve">Alt 2 may also require </w:t>
      </w:r>
      <w:r w:rsidR="006E5D92">
        <w:t xml:space="preserve">additional PDCCH processing </w:t>
      </w:r>
      <w:r w:rsidR="00C9106D">
        <w:t xml:space="preserve">load restriction/checking </w:t>
      </w:r>
      <w:r w:rsidR="0079170E">
        <w:t>as Alt 1B.</w:t>
      </w:r>
      <w:r w:rsidR="00493333">
        <w:t xml:space="preserve"> Further clarification from the proponent companies </w:t>
      </w:r>
      <w:r w:rsidR="002673C0">
        <w:t>are needed.</w:t>
      </w:r>
      <w:bookmarkEnd w:id="21"/>
    </w:p>
    <w:p w14:paraId="4D455AE0" w14:textId="77777777" w:rsidR="00D23238" w:rsidRDefault="00D23238" w:rsidP="00D7112B">
      <w:pPr>
        <w:pStyle w:val="BodyText"/>
      </w:pPr>
    </w:p>
    <w:p w14:paraId="121DE5CC" w14:textId="29382975" w:rsidR="00096C47" w:rsidRDefault="00096C47" w:rsidP="00096C47">
      <w:pPr>
        <w:pStyle w:val="Heading3"/>
      </w:pPr>
      <w:bookmarkStart w:id="22" w:name="_Toc67653043"/>
      <w:r>
        <w:t>2.</w:t>
      </w:r>
      <w:r w:rsidR="00E9206F">
        <w:t>2</w:t>
      </w:r>
      <w:r>
        <w:t>.</w:t>
      </w:r>
      <w:r w:rsidR="00247AAC">
        <w:t>3</w:t>
      </w:r>
      <w:r w:rsidRPr="00C81EDA">
        <w:tab/>
      </w:r>
      <w:r w:rsidRPr="00D23238">
        <w:t xml:space="preserve">Alt </w:t>
      </w:r>
      <w:r>
        <w:t>3</w:t>
      </w:r>
      <w:r w:rsidRPr="00D23238">
        <w:t xml:space="preserve">: </w:t>
      </w:r>
      <w:r w:rsidR="00E6418F">
        <w:t xml:space="preserve">A </w:t>
      </w:r>
      <w:r w:rsidR="00EF1FD1" w:rsidRPr="00EF1FD1">
        <w:t>sliding window of N slots</w:t>
      </w:r>
      <w:bookmarkEnd w:id="22"/>
    </w:p>
    <w:p w14:paraId="0FB706C5" w14:textId="77777777" w:rsidR="00247AAC" w:rsidRPr="00585DB0" w:rsidRDefault="00247AAC" w:rsidP="00247AAC">
      <w:pPr>
        <w:pStyle w:val="BodyText"/>
        <w:rPr>
          <w:b/>
          <w:bCs/>
          <w:u w:val="single"/>
        </w:rPr>
      </w:pPr>
      <w:r w:rsidRPr="00585DB0">
        <w:rPr>
          <w:b/>
          <w:bCs/>
          <w:u w:val="single"/>
        </w:rPr>
        <w:t>In which slot(s) of a multi-slot span shall PDCCH be monitored?</w:t>
      </w:r>
    </w:p>
    <w:p w14:paraId="59141F3B" w14:textId="4BC43B38" w:rsidR="00247AAC" w:rsidRDefault="0092541B" w:rsidP="00247AAC">
      <w:pPr>
        <w:pStyle w:val="BodyText"/>
      </w:pPr>
      <w:r>
        <w:t xml:space="preserve">Alt 3 is </w:t>
      </w:r>
      <w:r w:rsidR="001149AD">
        <w:t xml:space="preserve">motivated by the joint </w:t>
      </w:r>
      <w:r w:rsidR="0061667E">
        <w:t xml:space="preserve">consideration for both the UEs and the network discussed in Section 2.1. </w:t>
      </w:r>
      <w:r w:rsidR="00545DBC">
        <w:t xml:space="preserve">It is beneficial </w:t>
      </w:r>
      <w:r>
        <w:t xml:space="preserve">to </w:t>
      </w:r>
      <w:r w:rsidR="00C3312F">
        <w:t xml:space="preserve">allow the network to </w:t>
      </w:r>
      <w:r w:rsidR="002C23E9">
        <w:t>flexibl</w:t>
      </w:r>
      <w:r w:rsidR="00E22D8F">
        <w:t>y</w:t>
      </w:r>
      <w:r w:rsidR="002C23E9">
        <w:t xml:space="preserve"> </w:t>
      </w:r>
      <w:r w:rsidR="00EC4D58">
        <w:t xml:space="preserve">spread the UEs’ </w:t>
      </w:r>
      <w:r w:rsidR="00B14CF8">
        <w:t xml:space="preserve">N-slot PDCCH processing </w:t>
      </w:r>
      <w:r w:rsidR="00EC4D58">
        <w:t>capabilit</w:t>
      </w:r>
      <w:r w:rsidR="00B14CF8">
        <w:t>i</w:t>
      </w:r>
      <w:r w:rsidR="00EC4D58">
        <w:t>es</w:t>
      </w:r>
      <w:r w:rsidR="00B14CF8">
        <w:t xml:space="preserve">,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oMath>
      <w:r w:rsidR="00B14CF8">
        <w:rPr>
          <w:rFonts w:eastAsiaTheme="minorEastAsia"/>
        </w:rPr>
        <w:t>, over the N</w:t>
      </w:r>
      <w:r w:rsidR="00483A57">
        <w:rPr>
          <w:rFonts w:eastAsiaTheme="minorEastAsia"/>
        </w:rPr>
        <w:t>-</w:t>
      </w:r>
      <w:r w:rsidR="00B14CF8">
        <w:rPr>
          <w:rFonts w:eastAsiaTheme="minorEastAsia"/>
        </w:rPr>
        <w:t>slot span</w:t>
      </w:r>
      <w:r w:rsidR="00C344EA">
        <w:rPr>
          <w:rFonts w:eastAsiaTheme="minorEastAsia"/>
        </w:rPr>
        <w:t xml:space="preserve"> </w:t>
      </w:r>
      <w:r w:rsidR="0067697F">
        <w:rPr>
          <w:rFonts w:eastAsiaTheme="minorEastAsia"/>
        </w:rPr>
        <w:t xml:space="preserve">(for example, all in one slot or over several slots) </w:t>
      </w:r>
      <w:r w:rsidR="00C344EA">
        <w:rPr>
          <w:rFonts w:eastAsiaTheme="minorEastAsia"/>
        </w:rPr>
        <w:t xml:space="preserve">to </w:t>
      </w:r>
      <w:r w:rsidR="00552FA0">
        <w:t xml:space="preserve">optimize the various requirements from different UEs and network in terms of capabilities, latency requirements and PDCCH resource capacities. </w:t>
      </w:r>
      <w:r w:rsidR="00DA2A31" w:rsidRPr="00FC76D7">
        <w:t xml:space="preserve">From a UE’s point view, SS can be configured with any existing </w:t>
      </w:r>
      <w:proofErr w:type="spellStart"/>
      <w:r w:rsidR="00DA2A31" w:rsidRPr="002F4C0A">
        <w:rPr>
          <w:rFonts w:ascii="Courier New" w:hAnsi="Courier New" w:cs="Courier New"/>
        </w:rPr>
        <w:t>monitoringSlotPeriodicityAndOffset</w:t>
      </w:r>
      <w:proofErr w:type="spellEnd"/>
      <w:r w:rsidR="00DA2A31" w:rsidRPr="00FC76D7">
        <w:t xml:space="preserve"> </w:t>
      </w:r>
      <w:proofErr w:type="gramStart"/>
      <w:r w:rsidR="00DA2A31" w:rsidRPr="00FC76D7">
        <w:t>as long as</w:t>
      </w:r>
      <w:proofErr w:type="gramEnd"/>
      <w:r w:rsidR="00DA2A31" w:rsidRPr="00FC76D7">
        <w:t xml:space="preserve"> the aggregated </w:t>
      </w:r>
      <w:r w:rsidR="002F4C0A">
        <w:t xml:space="preserve">monitoring occasions </w:t>
      </w:r>
      <w:r w:rsidR="00DA2A31" w:rsidRPr="00FC76D7">
        <w:t xml:space="preserve">respect the processing load constraint within </w:t>
      </w:r>
      <w:r w:rsidR="0031582C">
        <w:t>any</w:t>
      </w:r>
      <w:r w:rsidR="00DA2A31" w:rsidRPr="00FC76D7">
        <w:t xml:space="preserve"> sliding window</w:t>
      </w:r>
      <w:r w:rsidR="0031582C">
        <w:t xml:space="preserve"> of N slots.</w:t>
      </w:r>
      <w:r w:rsidR="007B6DE0">
        <w:t xml:space="preserve"> </w:t>
      </w:r>
      <w:r w:rsidR="00DC3A56">
        <w:t>This is elaborated by the following examples for N=4 slots.</w:t>
      </w:r>
    </w:p>
    <w:p w14:paraId="3F7BA1E7" w14:textId="7DD3F0E2" w:rsidR="00311C3C" w:rsidRDefault="00497C8E" w:rsidP="00247AAC">
      <w:pPr>
        <w:pStyle w:val="BodyText"/>
      </w:pPr>
      <w:r>
        <w:t>First of all, for UEs not requiring low latency</w:t>
      </w:r>
      <w:r w:rsidR="00417A26">
        <w:t xml:space="preserve"> and the PDCCH resources are not constrained</w:t>
      </w:r>
      <w:r>
        <w:t xml:space="preserve">, the network can configure </w:t>
      </w:r>
      <w:r w:rsidR="00D55A9B">
        <w:t xml:space="preserve">the UEs’ PDCCH monitoring occasions </w:t>
      </w:r>
      <w:r w:rsidR="00E96E59">
        <w:t xml:space="preserve">for CSS and USS to </w:t>
      </w:r>
      <w:r w:rsidR="00E22D8F">
        <w:t xml:space="preserve">align </w:t>
      </w:r>
      <w:r w:rsidR="00E96E59">
        <w:t>closely</w:t>
      </w:r>
      <w:r w:rsidR="00577224">
        <w:t xml:space="preserve"> as illustrated in </w:t>
      </w:r>
      <w:r w:rsidR="00002C0C">
        <w:fldChar w:fldCharType="begin"/>
      </w:r>
      <w:r w:rsidR="00002C0C">
        <w:instrText xml:space="preserve"> REF _Ref67650039 \h </w:instrText>
      </w:r>
      <w:r w:rsidR="00002C0C">
        <w:fldChar w:fldCharType="separate"/>
      </w:r>
      <w:r w:rsidR="00711D1F" w:rsidRPr="009B6F32">
        <w:t xml:space="preserve">Figure </w:t>
      </w:r>
      <w:r w:rsidR="00711D1F">
        <w:rPr>
          <w:noProof/>
        </w:rPr>
        <w:t>9</w:t>
      </w:r>
      <w:r w:rsidR="00002C0C">
        <w:fldChar w:fldCharType="end"/>
      </w:r>
      <w:r w:rsidR="00577224">
        <w:t>.</w:t>
      </w:r>
      <w:r w:rsidR="005B3CF2">
        <w:t xml:space="preserve"> </w:t>
      </w:r>
      <w:r w:rsidR="00553B17">
        <w:t>This type of configurations allow</w:t>
      </w:r>
      <w:r w:rsidR="007D0634">
        <w:t>s</w:t>
      </w:r>
      <w:r w:rsidR="00553B17">
        <w:t xml:space="preserve"> the UE</w:t>
      </w:r>
      <w:r w:rsidR="00FA55A3">
        <w:t xml:space="preserve">s to monitor PDCCH and, if not scheduled, to return to micro-sleep for power saving. </w:t>
      </w:r>
    </w:p>
    <w:p w14:paraId="40ADAE6E" w14:textId="27D7AE43" w:rsidR="00311C3C" w:rsidRDefault="00CA4867" w:rsidP="00247AAC">
      <w:pPr>
        <w:pStyle w:val="BodyText"/>
      </w:pPr>
      <w:r>
        <w:t xml:space="preserve">The </w:t>
      </w:r>
      <w:r w:rsidR="001861F7">
        <w:t xml:space="preserve">type of </w:t>
      </w:r>
      <w:r>
        <w:t>PDCCH monitoring configuration</w:t>
      </w:r>
      <w:r w:rsidR="001861F7">
        <w:t>s</w:t>
      </w:r>
      <w:r w:rsidR="004A2404">
        <w:t xml:space="preserve"> for </w:t>
      </w:r>
      <w:r w:rsidR="001861F7">
        <w:t xml:space="preserve">example </w:t>
      </w:r>
      <w:r w:rsidR="004A2404">
        <w:t xml:space="preserve">UE2 and UE3 in the illustration </w:t>
      </w:r>
      <w:r w:rsidR="001861F7">
        <w:t xml:space="preserve">is needed </w:t>
      </w:r>
      <w:r w:rsidR="00E22D8F">
        <w:t xml:space="preserve">from the network perspective </w:t>
      </w:r>
      <w:r w:rsidR="001861F7">
        <w:t xml:space="preserve">to </w:t>
      </w:r>
      <w:r w:rsidR="00CF66E3">
        <w:t>alleviate the PDCCH resource</w:t>
      </w:r>
      <w:r w:rsidR="00054065">
        <w:t xml:space="preserve"> and hashing collision</w:t>
      </w:r>
      <w:r w:rsidR="00A45FBB">
        <w:t xml:space="preserve"> issues</w:t>
      </w:r>
      <w:r w:rsidR="00450955">
        <w:t>,</w:t>
      </w:r>
      <w:r w:rsidR="00467125">
        <w:t xml:space="preserve"> whose</w:t>
      </w:r>
      <w:r w:rsidR="007D0634">
        <w:t xml:space="preserve"> purpose is similar to, for example, Y</w:t>
      </w:r>
      <w:r w:rsidR="00104FD6">
        <w:t>&gt;14</w:t>
      </w:r>
      <w:r w:rsidR="007D0634">
        <w:t xml:space="preserve"> OS in Alt 2.</w:t>
      </w:r>
    </w:p>
    <w:p w14:paraId="134D07A9" w14:textId="4B371142" w:rsidR="00040D2D" w:rsidRDefault="00040D2D" w:rsidP="00040D2D">
      <w:pPr>
        <w:pStyle w:val="BodyText"/>
        <w:numPr>
          <w:ilvl w:val="0"/>
          <w:numId w:val="43"/>
        </w:numPr>
      </w:pPr>
      <w:r>
        <w:t>For the type of PDCCH monitoring configurations illustrated for UE1, the CSS and USS monitoring occasions are aligned in the same slots. Only one set of slid</w:t>
      </w:r>
      <w:r w:rsidR="003F77F7">
        <w:t>ing</w:t>
      </w:r>
      <w:r>
        <w:t xml:space="preserve"> windows need to be checked to ensure the N-slot PDCCH processing capabilities,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=U+C</m:t>
        </m:r>
      </m:oMath>
      <w:r>
        <w:rPr>
          <w:rFonts w:eastAsiaTheme="minorEastAsia"/>
        </w:rPr>
        <w:t xml:space="preserve"> is not exceeded. This PDCCH processing load checking is </w:t>
      </w:r>
      <w:proofErr w:type="gramStart"/>
      <w:r>
        <w:rPr>
          <w:rFonts w:eastAsiaTheme="minorEastAsia"/>
        </w:rPr>
        <w:t>similar to</w:t>
      </w:r>
      <w:proofErr w:type="gramEnd"/>
      <w:r>
        <w:rPr>
          <w:rFonts w:eastAsiaTheme="minorEastAsia"/>
        </w:rPr>
        <w:t xml:space="preserve"> those for Alt 1A or Alt 2 with </w:t>
      </w:r>
      <w:r w:rsidR="00DF0A03">
        <w:rPr>
          <w:rFonts w:eastAsiaTheme="minorEastAsia"/>
        </w:rPr>
        <w:t xml:space="preserve">very small </w:t>
      </w:r>
      <w:r>
        <w:rPr>
          <w:rFonts w:eastAsiaTheme="minorEastAsia"/>
        </w:rPr>
        <w:t>Y.</w:t>
      </w:r>
    </w:p>
    <w:p w14:paraId="0D2BA1C2" w14:textId="279F60B6" w:rsidR="00040D2D" w:rsidRDefault="00040D2D" w:rsidP="00040D2D">
      <w:pPr>
        <w:pStyle w:val="BodyText"/>
        <w:numPr>
          <w:ilvl w:val="0"/>
          <w:numId w:val="43"/>
        </w:numPr>
      </w:pPr>
      <w:r>
        <w:t>For the type of PDCCH monitoring configurations illustrated for UE2 or UE3,</w:t>
      </w:r>
      <w:r w:rsidR="000A4CBE">
        <w:t xml:space="preserve"> a window sliding forward in time is</w:t>
      </w:r>
      <w:r>
        <w:t xml:space="preserve"> </w:t>
      </w:r>
      <w:r w:rsidR="003F77F7">
        <w:t xml:space="preserve">checked </w:t>
      </w:r>
      <w:r w:rsidR="00942F82">
        <w:t>to ensure the N-slot PDCCH processing capabilit</w:t>
      </w:r>
      <w:r w:rsidR="000A4CBE">
        <w:t>y</w:t>
      </w:r>
      <w:r w:rsidR="00942F82">
        <w:t xml:space="preserve">,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=U+C</m:t>
        </m:r>
      </m:oMath>
      <w:r w:rsidR="00942F82">
        <w:rPr>
          <w:rFonts w:eastAsiaTheme="minorEastAsia"/>
        </w:rPr>
        <w:t xml:space="preserve"> is not exceeded.</w:t>
      </w:r>
    </w:p>
    <w:p w14:paraId="3BB9A6B9" w14:textId="5ABF7E77" w:rsidR="00866113" w:rsidRDefault="005A43B2" w:rsidP="00915676">
      <w:pPr>
        <w:pStyle w:val="BodyText"/>
        <w:spacing w:before="120"/>
        <w:rPr>
          <w:noProof/>
        </w:rPr>
      </w:pPr>
      <w:r w:rsidRPr="005A43B2">
        <w:rPr>
          <w:noProof/>
        </w:rPr>
        <w:drawing>
          <wp:inline distT="0" distB="0" distL="0" distR="0" wp14:anchorId="29C9C627" wp14:editId="50E53B1B">
            <wp:extent cx="6120765" cy="30041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004185"/>
                    </a:xfrm>
                    <a:prstGeom prst="rect">
                      <a:avLst/>
                    </a:prstGeom>
                    <a:noFill/>
                    <a:ln>
                      <a:noFill/>
                    </a:ln>
                  </pic:spPr>
                </pic:pic>
              </a:graphicData>
            </a:graphic>
          </wp:inline>
        </w:drawing>
      </w:r>
    </w:p>
    <w:p w14:paraId="4D53F681" w14:textId="55AFA348" w:rsidR="00866113" w:rsidRPr="00AC3542" w:rsidRDefault="00866113" w:rsidP="00FA66F6">
      <w:pPr>
        <w:pStyle w:val="TF"/>
        <w:rPr>
          <w:lang w:val="en-US"/>
        </w:rPr>
      </w:pPr>
      <w:bookmarkStart w:id="23" w:name="_Ref67650039"/>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711D1F">
        <w:rPr>
          <w:noProof/>
          <w:lang w:val="en-US"/>
        </w:rPr>
        <w:t>9</w:t>
      </w:r>
      <w:r w:rsidRPr="009B6F32">
        <w:rPr>
          <w:lang w:val="en-US"/>
        </w:rPr>
        <w:fldChar w:fldCharType="end"/>
      </w:r>
      <w:bookmarkEnd w:id="23"/>
      <w:r w:rsidRPr="009B6F32">
        <w:rPr>
          <w:lang w:val="en-US"/>
        </w:rPr>
        <w:t xml:space="preserve">: </w:t>
      </w:r>
      <w:r w:rsidR="005E7F6C">
        <w:rPr>
          <w:lang w:val="en-US"/>
        </w:rPr>
        <w:t>PDCCH monitoring configurations for UE</w:t>
      </w:r>
      <w:r w:rsidR="00FA66F6">
        <w:rPr>
          <w:lang w:val="en-US"/>
        </w:rPr>
        <w:t>s not requiring low latency according to Alt 3</w:t>
      </w:r>
      <w:r w:rsidR="00B766F5">
        <w:rPr>
          <w:lang w:val="en-US"/>
        </w:rPr>
        <w:t xml:space="preserve"> N=4</w:t>
      </w:r>
      <w:r w:rsidR="00FA66F6">
        <w:rPr>
          <w:lang w:val="en-US"/>
        </w:rPr>
        <w:t>.</w:t>
      </w:r>
    </w:p>
    <w:p w14:paraId="441129A2" w14:textId="79629F5E" w:rsidR="006009A4" w:rsidRDefault="00B1007E" w:rsidP="00915676">
      <w:pPr>
        <w:pStyle w:val="BodyText"/>
      </w:pPr>
      <w:r>
        <w:t xml:space="preserve">Next, for UEs requiring low latency, </w:t>
      </w:r>
      <w:r w:rsidR="006158BB">
        <w:t xml:space="preserve">the network can </w:t>
      </w:r>
      <w:r w:rsidR="00576C04">
        <w:t>utilize PDCCH monitoring configurations</w:t>
      </w:r>
      <w:r w:rsidR="00654E4A">
        <w:t xml:space="preserve"> illustrated in </w:t>
      </w:r>
      <w:r w:rsidR="00654E4A">
        <w:fldChar w:fldCharType="begin"/>
      </w:r>
      <w:r w:rsidR="00654E4A">
        <w:instrText xml:space="preserve"> REF _Ref67650444 \h </w:instrText>
      </w:r>
      <w:r w:rsidR="00654E4A">
        <w:fldChar w:fldCharType="separate"/>
      </w:r>
      <w:r w:rsidR="00711D1F" w:rsidRPr="009B6F32">
        <w:t xml:space="preserve">Figure </w:t>
      </w:r>
      <w:r w:rsidR="00711D1F">
        <w:rPr>
          <w:noProof/>
        </w:rPr>
        <w:t>10</w:t>
      </w:r>
      <w:r w:rsidR="00654E4A">
        <w:fldChar w:fldCharType="end"/>
      </w:r>
      <w:r w:rsidR="00B30C5D">
        <w:t>.</w:t>
      </w:r>
      <w:r w:rsidR="00CF282E">
        <w:t xml:space="preserve"> </w:t>
      </w:r>
    </w:p>
    <w:p w14:paraId="2C692C9F" w14:textId="2F859669" w:rsidR="00B30C5D" w:rsidRDefault="000E2509" w:rsidP="00B30C5D">
      <w:pPr>
        <w:pStyle w:val="BodyText"/>
        <w:numPr>
          <w:ilvl w:val="0"/>
          <w:numId w:val="42"/>
        </w:numPr>
      </w:pPr>
      <w:r>
        <w:t>In th</w:t>
      </w:r>
      <w:r w:rsidR="00C01251">
        <w:t>e first example for UE4, the UE USS periodicity is still set to 4</w:t>
      </w:r>
      <w:r w:rsidR="00050870">
        <w:t xml:space="preserve"> </w:t>
      </w:r>
      <w:r w:rsidR="00AF24DE">
        <w:t>slots,</w:t>
      </w:r>
      <w:r w:rsidR="00C01251">
        <w:t xml:space="preserve"> but the </w:t>
      </w:r>
      <w:r w:rsidR="001E4709">
        <w:t xml:space="preserve">monitoring occasions are offset from those for the CSS. </w:t>
      </w:r>
      <w:r w:rsidR="00622A08">
        <w:t>Between the USS and CSS monitoring occasions, the UE</w:t>
      </w:r>
      <w:r w:rsidR="00A30E81">
        <w:t xml:space="preserve">s can </w:t>
      </w:r>
      <w:r w:rsidR="00BF3CC2">
        <w:t xml:space="preserve">effectively be </w:t>
      </w:r>
      <w:r w:rsidR="00A30E81">
        <w:t xml:space="preserve">scheduled </w:t>
      </w:r>
      <w:r w:rsidR="00BF3CC2">
        <w:t xml:space="preserve">every </w:t>
      </w:r>
      <w:r w:rsidR="00050870">
        <w:t>other slot.</w:t>
      </w:r>
      <w:r w:rsidR="008C0BB0">
        <w:t xml:space="preserve"> </w:t>
      </w:r>
      <w:r w:rsidR="000A4CBE">
        <w:t>A window</w:t>
      </w:r>
      <w:r w:rsidR="008C0BB0">
        <w:t xml:space="preserve"> sliding </w:t>
      </w:r>
      <w:r w:rsidR="000A4CBE">
        <w:t>forward in time is</w:t>
      </w:r>
      <w:r w:rsidR="008C0BB0">
        <w:t xml:space="preserve"> checked to ensure the N-slot PDCCH processing capabilit</w:t>
      </w:r>
      <w:r w:rsidR="000A4CBE">
        <w:t>y</w:t>
      </w:r>
      <w:r w:rsidR="008C0BB0">
        <w:t xml:space="preserve">,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=U+C</m:t>
        </m:r>
      </m:oMath>
      <w:r w:rsidR="008C0BB0">
        <w:rPr>
          <w:rFonts w:eastAsiaTheme="minorEastAsia"/>
        </w:rPr>
        <w:t xml:space="preserve"> is not exceeded.</w:t>
      </w:r>
    </w:p>
    <w:p w14:paraId="4C49B6F8" w14:textId="50396709" w:rsidR="00050870" w:rsidRDefault="00050870" w:rsidP="003D3790">
      <w:pPr>
        <w:pStyle w:val="BodyText"/>
        <w:numPr>
          <w:ilvl w:val="0"/>
          <w:numId w:val="42"/>
        </w:numPr>
      </w:pPr>
      <w:r>
        <w:t>In the second example for UE5, the UE USS periodicity is set to 2 slots</w:t>
      </w:r>
      <w:r w:rsidR="00C6093D">
        <w:t xml:space="preserve"> </w:t>
      </w:r>
      <w:r w:rsidR="00501C87" w:rsidRPr="00697E8F">
        <w:t xml:space="preserve">and the required number of BD/CCEs in each </w:t>
      </w:r>
      <w:r w:rsidR="00501C87">
        <w:t xml:space="preserve">USS </w:t>
      </w:r>
      <w:r w:rsidR="00700962">
        <w:t>monitoring occasion</w:t>
      </w:r>
      <w:r w:rsidR="00501C87" w:rsidRPr="00697E8F">
        <w:t xml:space="preserve"> is denoted by </w:t>
      </w:r>
      <m:oMath>
        <m:r>
          <w:rPr>
            <w:rFonts w:ascii="Cambria Math" w:hAnsi="Cambria Math"/>
          </w:rPr>
          <m:t>U/2</m:t>
        </m:r>
      </m:oMath>
      <w:r w:rsidR="00501C87" w:rsidRPr="00697E8F">
        <w:t>.</w:t>
      </w:r>
      <w:r w:rsidR="00D47845">
        <w:t xml:space="preserve"> The USS monitoring occasions are </w:t>
      </w:r>
      <w:r w:rsidR="00C6093D">
        <w:t>aligned with the CSS.</w:t>
      </w:r>
      <w:r w:rsidR="00122223">
        <w:t xml:space="preserve"> The UEs can be scheduled every other slot.</w:t>
      </w:r>
    </w:p>
    <w:p w14:paraId="490594FB" w14:textId="097F1CD0" w:rsidR="00660D9C" w:rsidRDefault="00660D9C" w:rsidP="003D3790">
      <w:pPr>
        <w:pStyle w:val="BodyText"/>
        <w:numPr>
          <w:ilvl w:val="0"/>
          <w:numId w:val="42"/>
        </w:numPr>
      </w:pPr>
      <w:r>
        <w:t xml:space="preserve">For both types of examples, </w:t>
      </w:r>
      <w:r w:rsidR="000A4CBE">
        <w:t>a window sliding forward in time  is</w:t>
      </w:r>
      <w:r>
        <w:t xml:space="preserve"> checked to ensure the N-slot PDCCH processing capabilit</w:t>
      </w:r>
      <w:r w:rsidR="000A4CBE">
        <w:t>y</w:t>
      </w:r>
      <w:r>
        <w:t xml:space="preserve">,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=U+C</m:t>
        </m:r>
      </m:oMath>
      <w:r>
        <w:rPr>
          <w:rFonts w:eastAsiaTheme="minorEastAsia"/>
        </w:rPr>
        <w:t xml:space="preserve"> is not exceeded.</w:t>
      </w:r>
    </w:p>
    <w:p w14:paraId="44995D91" w14:textId="73B1E979" w:rsidR="001B227F" w:rsidRDefault="001B227F" w:rsidP="00915676">
      <w:pPr>
        <w:pStyle w:val="BodyText"/>
        <w:spacing w:before="120"/>
        <w:rPr>
          <w:noProof/>
        </w:rPr>
      </w:pPr>
      <w:r w:rsidRPr="001B227F">
        <w:rPr>
          <w:noProof/>
        </w:rPr>
        <w:drawing>
          <wp:inline distT="0" distB="0" distL="0" distR="0" wp14:anchorId="254D8EB2" wp14:editId="2527D783">
            <wp:extent cx="6120765" cy="18580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858010"/>
                    </a:xfrm>
                    <a:prstGeom prst="rect">
                      <a:avLst/>
                    </a:prstGeom>
                    <a:noFill/>
                    <a:ln>
                      <a:noFill/>
                    </a:ln>
                  </pic:spPr>
                </pic:pic>
              </a:graphicData>
            </a:graphic>
          </wp:inline>
        </w:drawing>
      </w:r>
    </w:p>
    <w:p w14:paraId="5BC09F2E" w14:textId="6E3521B6" w:rsidR="00FA66F6" w:rsidRPr="00AC3542" w:rsidRDefault="00FA66F6" w:rsidP="00FA66F6">
      <w:pPr>
        <w:pStyle w:val="TF"/>
        <w:rPr>
          <w:lang w:val="en-US"/>
        </w:rPr>
      </w:pPr>
      <w:bookmarkStart w:id="24" w:name="_Ref67650444"/>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711D1F">
        <w:rPr>
          <w:noProof/>
          <w:lang w:val="en-US"/>
        </w:rPr>
        <w:t>10</w:t>
      </w:r>
      <w:r w:rsidRPr="009B6F32">
        <w:rPr>
          <w:lang w:val="en-US"/>
        </w:rPr>
        <w:fldChar w:fldCharType="end"/>
      </w:r>
      <w:bookmarkEnd w:id="24"/>
      <w:r w:rsidRPr="009B6F32">
        <w:rPr>
          <w:lang w:val="en-US"/>
        </w:rPr>
        <w:t xml:space="preserve">: </w:t>
      </w:r>
      <w:r>
        <w:rPr>
          <w:lang w:val="en-US"/>
        </w:rPr>
        <w:t>PDCCH monitoring configurations for UEs requiring low latency according to Alt 3</w:t>
      </w:r>
      <w:r w:rsidR="00787B7A">
        <w:rPr>
          <w:lang w:val="en-US"/>
        </w:rPr>
        <w:t xml:space="preserve"> N=4</w:t>
      </w:r>
      <w:r>
        <w:rPr>
          <w:lang w:val="en-US"/>
        </w:rPr>
        <w:t>.</w:t>
      </w:r>
    </w:p>
    <w:p w14:paraId="2B75ECB0" w14:textId="4793B374" w:rsidR="00A923A0" w:rsidRDefault="00152F24" w:rsidP="00A923A0">
      <w:pPr>
        <w:pStyle w:val="BodyText"/>
      </w:pPr>
      <w:r>
        <w:t>Finally</w:t>
      </w:r>
      <w:r w:rsidR="00A923A0">
        <w:t xml:space="preserve">, for UEs requiring </w:t>
      </w:r>
      <w:r>
        <w:t>ultra-</w:t>
      </w:r>
      <w:r w:rsidR="00A923A0">
        <w:t>low latency, the network can utilize PDCCH monitoring configurations illustrated in</w:t>
      </w:r>
      <w:r>
        <w:t xml:space="preserve"> </w:t>
      </w:r>
      <w:r>
        <w:fldChar w:fldCharType="begin"/>
      </w:r>
      <w:r>
        <w:instrText xml:space="preserve"> REF _Ref67650692 \h </w:instrText>
      </w:r>
      <w:r>
        <w:fldChar w:fldCharType="separate"/>
      </w:r>
      <w:r w:rsidR="00711D1F" w:rsidRPr="009B6F32">
        <w:t xml:space="preserve">Figure </w:t>
      </w:r>
      <w:r w:rsidR="00711D1F">
        <w:rPr>
          <w:noProof/>
        </w:rPr>
        <w:t>11</w:t>
      </w:r>
      <w:r>
        <w:fldChar w:fldCharType="end"/>
      </w:r>
      <w:r w:rsidR="00A923A0">
        <w:t>.</w:t>
      </w:r>
    </w:p>
    <w:p w14:paraId="6605DC4D" w14:textId="3981A8E1" w:rsidR="00A923A0" w:rsidRDefault="00A923A0" w:rsidP="003D3790">
      <w:pPr>
        <w:pStyle w:val="BodyText"/>
        <w:numPr>
          <w:ilvl w:val="0"/>
          <w:numId w:val="42"/>
        </w:numPr>
      </w:pPr>
      <w:r>
        <w:t>In the first example for UE</w:t>
      </w:r>
      <w:r w:rsidR="00152F24">
        <w:t>6</w:t>
      </w:r>
      <w:r>
        <w:t xml:space="preserve">, the UE USS periodicity is still set to </w:t>
      </w:r>
      <w:r w:rsidR="00152F24">
        <w:t>2</w:t>
      </w:r>
      <w:r>
        <w:t xml:space="preserve"> </w:t>
      </w:r>
      <w:r w:rsidR="006E6980">
        <w:t>slots</w:t>
      </w:r>
      <w:r w:rsidR="001C2DEF">
        <w:t xml:space="preserve"> </w:t>
      </w:r>
      <w:r w:rsidR="001C2DEF" w:rsidRPr="00697E8F">
        <w:t xml:space="preserve">and the required number of BD/CCEs in each </w:t>
      </w:r>
      <w:r w:rsidR="001C2DEF">
        <w:t xml:space="preserve">USS </w:t>
      </w:r>
      <w:r w:rsidR="00700962">
        <w:t>monitoring occasion</w:t>
      </w:r>
      <w:r w:rsidR="001C2DEF" w:rsidRPr="00697E8F">
        <w:t xml:space="preserve"> is denoted by </w:t>
      </w:r>
      <m:oMath>
        <m:r>
          <w:rPr>
            <w:rFonts w:ascii="Cambria Math" w:hAnsi="Cambria Math"/>
          </w:rPr>
          <m:t>U/2</m:t>
        </m:r>
      </m:oMath>
      <w:r w:rsidR="001C2DEF" w:rsidRPr="00697E8F">
        <w:t>.</w:t>
      </w:r>
      <w:r w:rsidR="000A7976">
        <w:t xml:space="preserve"> T</w:t>
      </w:r>
      <w:r>
        <w:t xml:space="preserve">he monitoring occasions are offset from those for the CSS. Between the USS and CSS monitoring occasions, the UEs can effectively be scheduled </w:t>
      </w:r>
      <w:r w:rsidR="002B5BDD">
        <w:t xml:space="preserve">almost </w:t>
      </w:r>
      <w:r>
        <w:t>every slot.</w:t>
      </w:r>
      <w:r w:rsidR="00836955">
        <w:t xml:space="preserve"> </w:t>
      </w:r>
      <w:r w:rsidR="000A4CBE">
        <w:t xml:space="preserve">A window sliding forward in time is </w:t>
      </w:r>
      <w:r w:rsidR="00836955">
        <w:t>checked to ensure the N-slot PDCCH processing capabilit</w:t>
      </w:r>
      <w:r w:rsidR="000A4CBE">
        <w:t>y</w:t>
      </w:r>
      <w:r w:rsidR="00836955">
        <w:t xml:space="preserve">,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=U+C</m:t>
        </m:r>
      </m:oMath>
      <w:r w:rsidR="00836955">
        <w:rPr>
          <w:rFonts w:eastAsiaTheme="minorEastAsia"/>
        </w:rPr>
        <w:t xml:space="preserve"> is not exceeded.</w:t>
      </w:r>
    </w:p>
    <w:p w14:paraId="09E150F0" w14:textId="1BB65C75" w:rsidR="00A923A0" w:rsidRDefault="00A923A0" w:rsidP="00A923A0">
      <w:pPr>
        <w:pStyle w:val="BodyText"/>
        <w:numPr>
          <w:ilvl w:val="0"/>
          <w:numId w:val="42"/>
        </w:numPr>
      </w:pPr>
      <w:r>
        <w:t>In the second example for UE</w:t>
      </w:r>
      <w:r w:rsidR="002B5BDD">
        <w:t>7</w:t>
      </w:r>
      <w:r>
        <w:t xml:space="preserve">, the UE USS periodicity is set to </w:t>
      </w:r>
      <w:r w:rsidR="002B5BDD">
        <w:t xml:space="preserve">every </w:t>
      </w:r>
      <w:r>
        <w:t>slot</w:t>
      </w:r>
      <w:r w:rsidR="001C2DEF">
        <w:t xml:space="preserve"> </w:t>
      </w:r>
      <w:r w:rsidR="001C2DEF" w:rsidRPr="00697E8F">
        <w:t xml:space="preserve">and the required number of BD/CCEs in each </w:t>
      </w:r>
      <w:r w:rsidR="001C2DEF">
        <w:t xml:space="preserve">USS </w:t>
      </w:r>
      <w:r w:rsidR="00700962">
        <w:t>monitoring occasion</w:t>
      </w:r>
      <w:r w:rsidR="001C2DEF" w:rsidRPr="00697E8F">
        <w:t xml:space="preserve"> is denoted by </w:t>
      </w:r>
      <m:oMath>
        <m:r>
          <w:rPr>
            <w:rFonts w:ascii="Cambria Math" w:hAnsi="Cambria Math"/>
          </w:rPr>
          <m:t>U/4</m:t>
        </m:r>
      </m:oMath>
      <w:r>
        <w:t>.</w:t>
      </w:r>
      <w:r w:rsidR="00EE73EB" w:rsidRPr="00EE73EB">
        <w:t xml:space="preserve"> </w:t>
      </w:r>
      <w:r w:rsidR="00EE73EB">
        <w:t>The UEs can be scheduled in every slot.</w:t>
      </w:r>
      <w:r w:rsidR="00836955">
        <w:t xml:space="preserve"> </w:t>
      </w:r>
      <w:r w:rsidR="000A4CBE">
        <w:t>A window sliding forward in time is</w:t>
      </w:r>
      <w:r w:rsidR="00836955">
        <w:t xml:space="preserve"> checked to ensure the N-slot PDCCH processing capabilit</w:t>
      </w:r>
      <w:r w:rsidR="000A4CBE">
        <w:t>y</w:t>
      </w:r>
      <w:r w:rsidR="00836955">
        <w:t xml:space="preserve">,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=U+C</m:t>
        </m:r>
      </m:oMath>
      <w:r w:rsidR="00836955">
        <w:rPr>
          <w:rFonts w:eastAsiaTheme="minorEastAsia"/>
        </w:rPr>
        <w:t xml:space="preserve"> is not exceeded.</w:t>
      </w:r>
    </w:p>
    <w:p w14:paraId="36B51473" w14:textId="6FAD855A" w:rsidR="00A42C04" w:rsidRDefault="00A42C04" w:rsidP="00915676">
      <w:pPr>
        <w:pStyle w:val="BodyText"/>
        <w:spacing w:before="120"/>
        <w:rPr>
          <w:noProof/>
        </w:rPr>
      </w:pPr>
      <w:r w:rsidRPr="00A42C04">
        <w:rPr>
          <w:noProof/>
        </w:rPr>
        <w:drawing>
          <wp:inline distT="0" distB="0" distL="0" distR="0" wp14:anchorId="4D61DC1F" wp14:editId="098B09A8">
            <wp:extent cx="6120765" cy="206756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067560"/>
                    </a:xfrm>
                    <a:prstGeom prst="rect">
                      <a:avLst/>
                    </a:prstGeom>
                    <a:noFill/>
                    <a:ln>
                      <a:noFill/>
                    </a:ln>
                  </pic:spPr>
                </pic:pic>
              </a:graphicData>
            </a:graphic>
          </wp:inline>
        </w:drawing>
      </w:r>
    </w:p>
    <w:p w14:paraId="5B6630C1" w14:textId="15DF9C7F" w:rsidR="00FA66F6" w:rsidRPr="00AC3542" w:rsidRDefault="00FA66F6" w:rsidP="00787B7A">
      <w:pPr>
        <w:pStyle w:val="TF"/>
        <w:jc w:val="both"/>
        <w:rPr>
          <w:lang w:val="en-US"/>
        </w:rPr>
      </w:pPr>
      <w:bookmarkStart w:id="25" w:name="_Ref67650692"/>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711D1F">
        <w:rPr>
          <w:noProof/>
          <w:lang w:val="en-US"/>
        </w:rPr>
        <w:t>11</w:t>
      </w:r>
      <w:r w:rsidRPr="009B6F32">
        <w:rPr>
          <w:lang w:val="en-US"/>
        </w:rPr>
        <w:fldChar w:fldCharType="end"/>
      </w:r>
      <w:bookmarkEnd w:id="25"/>
      <w:r w:rsidRPr="009B6F32">
        <w:rPr>
          <w:lang w:val="en-US"/>
        </w:rPr>
        <w:t xml:space="preserve">: </w:t>
      </w:r>
      <w:r>
        <w:rPr>
          <w:lang w:val="en-US"/>
        </w:rPr>
        <w:t>PDCCH monitoring configurations for UEs requiring ultra-low latency according to Alt 3</w:t>
      </w:r>
      <w:r w:rsidR="00787B7A">
        <w:rPr>
          <w:lang w:val="en-US"/>
        </w:rPr>
        <w:t xml:space="preserve"> N=4</w:t>
      </w:r>
      <w:r>
        <w:rPr>
          <w:lang w:val="en-US"/>
        </w:rPr>
        <w:t>.</w:t>
      </w:r>
    </w:p>
    <w:p w14:paraId="73FF0B46" w14:textId="77777777" w:rsidR="00247AAC" w:rsidRPr="00585DB0" w:rsidRDefault="00247AAC" w:rsidP="00247AAC">
      <w:pPr>
        <w:pStyle w:val="BodyText"/>
        <w:rPr>
          <w:b/>
          <w:bCs/>
          <w:u w:val="single"/>
        </w:rPr>
      </w:pPr>
      <w:r w:rsidRPr="00585DB0">
        <w:rPr>
          <w:b/>
          <w:bCs/>
          <w:u w:val="single"/>
        </w:rPr>
        <w:t>In which OFDM symbols of a monitored slot shall PDCCH be monitored?</w:t>
      </w:r>
    </w:p>
    <w:p w14:paraId="04995E31" w14:textId="7D819D82" w:rsidR="00C54FD1" w:rsidRDefault="00AA229C" w:rsidP="00C54FD1">
      <w:pPr>
        <w:pStyle w:val="BodyText"/>
      </w:pPr>
      <w:r>
        <w:t>Intra-slot monitoring c</w:t>
      </w:r>
      <w:r w:rsidR="00C54FD1" w:rsidRPr="00343325">
        <w:t xml:space="preserve">ase 2 </w:t>
      </w:r>
      <w:r w:rsidR="00897F76">
        <w:t xml:space="preserve">capability </w:t>
      </w:r>
      <w:r w:rsidR="00C54FD1" w:rsidRPr="00343325">
        <w:t>was introduced to support mini</w:t>
      </w:r>
      <w:r w:rsidR="008112BF">
        <w:t xml:space="preserve"> </w:t>
      </w:r>
      <w:r w:rsidR="00C54FD1" w:rsidRPr="00343325">
        <w:t>slots (Type B PDSCH mapping)</w:t>
      </w:r>
      <w:r w:rsidR="00691154">
        <w:t xml:space="preserve"> for the existing </w:t>
      </w:r>
      <w:r w:rsidR="00F23503">
        <w:t>FR1/FR2 bands</w:t>
      </w:r>
      <w:r w:rsidR="00C54FD1">
        <w:t>.</w:t>
      </w:r>
      <w:r w:rsidR="00C54FD1" w:rsidRPr="00343325">
        <w:t xml:space="preserve"> </w:t>
      </w:r>
      <w:r w:rsidR="00C54FD1">
        <w:t>H</w:t>
      </w:r>
      <w:r w:rsidR="00C54FD1" w:rsidRPr="00343325">
        <w:t xml:space="preserve">owever, </w:t>
      </w:r>
      <w:r w:rsidR="00C54FD1">
        <w:t xml:space="preserve">as the following table shows, </w:t>
      </w:r>
      <w:r w:rsidR="00C54FD1" w:rsidRPr="00343325">
        <w:t xml:space="preserve">the slot duration for 480/960 kHz </w:t>
      </w:r>
      <w:r w:rsidR="00C54FD1">
        <w:t xml:space="preserve">SCS </w:t>
      </w:r>
      <w:r w:rsidR="00C54FD1" w:rsidRPr="00343325">
        <w:t>is very short to start with</w:t>
      </w:r>
      <w:r w:rsidR="00C54FD1">
        <w:t>.</w:t>
      </w:r>
      <w:r w:rsidR="00C54FD1" w:rsidRPr="00343325">
        <w:t xml:space="preserve"> </w:t>
      </w:r>
      <w:r w:rsidR="00C54FD1">
        <w:t xml:space="preserve">The </w:t>
      </w:r>
      <w:r w:rsidR="00C54FD1" w:rsidRPr="00343325">
        <w:t>480/960 kHz</w:t>
      </w:r>
      <w:r w:rsidR="00C54FD1">
        <w:t xml:space="preserve"> SCS slot duration is </w:t>
      </w:r>
      <w:r w:rsidR="002D6802">
        <w:t xml:space="preserve">in fact </w:t>
      </w:r>
      <w:r w:rsidR="00C54FD1">
        <w:t>comparable to the duration of a 3-symbol mini-slot in 120 kHz SCS. Therefore, it is our view that t</w:t>
      </w:r>
      <w:r w:rsidR="00C54FD1" w:rsidRPr="00343325">
        <w:t>here is no need to have such flexible monitoring within a slot</w:t>
      </w:r>
      <w:r w:rsidR="00C54FD1">
        <w:t>.</w:t>
      </w:r>
    </w:p>
    <w:tbl>
      <w:tblPr>
        <w:tblStyle w:val="TableGrid"/>
        <w:tblW w:w="0" w:type="auto"/>
        <w:tblInd w:w="1345" w:type="dxa"/>
        <w:tblLook w:val="04A0" w:firstRow="1" w:lastRow="0" w:firstColumn="1" w:lastColumn="0" w:noHBand="0" w:noVBand="1"/>
      </w:tblPr>
      <w:tblGrid>
        <w:gridCol w:w="3055"/>
        <w:gridCol w:w="1170"/>
        <w:gridCol w:w="1171"/>
        <w:gridCol w:w="1170"/>
      </w:tblGrid>
      <w:tr w:rsidR="00C54FD1" w:rsidRPr="003D63C4" w14:paraId="3BFCA483" w14:textId="77777777" w:rsidTr="001415B6">
        <w:tc>
          <w:tcPr>
            <w:tcW w:w="3055" w:type="dxa"/>
            <w:tcBorders>
              <w:bottom w:val="double" w:sz="4" w:space="0" w:color="auto"/>
              <w:right w:val="double" w:sz="4" w:space="0" w:color="auto"/>
            </w:tcBorders>
            <w:vAlign w:val="bottom"/>
          </w:tcPr>
          <w:p w14:paraId="0ABF2B5C" w14:textId="77777777" w:rsidR="00C54FD1" w:rsidRPr="00552480" w:rsidRDefault="00C54FD1" w:rsidP="001415B6">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SCS [kHz]</w:t>
            </w:r>
          </w:p>
        </w:tc>
        <w:tc>
          <w:tcPr>
            <w:tcW w:w="1170" w:type="dxa"/>
            <w:tcBorders>
              <w:left w:val="double" w:sz="4" w:space="0" w:color="auto"/>
              <w:bottom w:val="double" w:sz="4" w:space="0" w:color="auto"/>
            </w:tcBorders>
            <w:vAlign w:val="bottom"/>
          </w:tcPr>
          <w:p w14:paraId="62EF2CAE" w14:textId="77777777" w:rsidR="00C54FD1" w:rsidRPr="00552480" w:rsidRDefault="00C54FD1" w:rsidP="001415B6">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120</w:t>
            </w:r>
          </w:p>
        </w:tc>
        <w:tc>
          <w:tcPr>
            <w:tcW w:w="1171" w:type="dxa"/>
            <w:tcBorders>
              <w:bottom w:val="double" w:sz="4" w:space="0" w:color="auto"/>
            </w:tcBorders>
            <w:vAlign w:val="bottom"/>
          </w:tcPr>
          <w:p w14:paraId="0C91FB43" w14:textId="77777777" w:rsidR="00C54FD1" w:rsidRPr="00552480" w:rsidRDefault="00C54FD1" w:rsidP="001415B6">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480</w:t>
            </w:r>
          </w:p>
        </w:tc>
        <w:tc>
          <w:tcPr>
            <w:tcW w:w="1170" w:type="dxa"/>
            <w:tcBorders>
              <w:bottom w:val="double" w:sz="4" w:space="0" w:color="auto"/>
            </w:tcBorders>
            <w:vAlign w:val="bottom"/>
          </w:tcPr>
          <w:p w14:paraId="5760E9F8" w14:textId="77777777" w:rsidR="00C54FD1" w:rsidRPr="00552480" w:rsidRDefault="00C54FD1" w:rsidP="001415B6">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960</w:t>
            </w:r>
          </w:p>
        </w:tc>
      </w:tr>
      <w:tr w:rsidR="00C54FD1" w:rsidRPr="003D63C4" w14:paraId="443472C9" w14:textId="77777777" w:rsidTr="001415B6">
        <w:tc>
          <w:tcPr>
            <w:tcW w:w="3055" w:type="dxa"/>
            <w:tcBorders>
              <w:top w:val="double" w:sz="4" w:space="0" w:color="auto"/>
              <w:right w:val="double" w:sz="4" w:space="0" w:color="auto"/>
            </w:tcBorders>
            <w:vAlign w:val="bottom"/>
          </w:tcPr>
          <w:p w14:paraId="66401220" w14:textId="77777777" w:rsidR="00C54FD1" w:rsidRPr="00552480" w:rsidRDefault="00C54FD1" w:rsidP="001415B6">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Slot duration [</w:t>
            </w:r>
            <w:proofErr w:type="spellStart"/>
            <w:r w:rsidRPr="00552480">
              <w:rPr>
                <w:rFonts w:eastAsiaTheme="minorEastAsia" w:cs="Arial"/>
                <w:color w:val="000000" w:themeColor="text1"/>
                <w:kern w:val="24"/>
              </w:rPr>
              <w:t>μs</w:t>
            </w:r>
            <w:proofErr w:type="spellEnd"/>
            <w:r w:rsidRPr="00552480">
              <w:rPr>
                <w:rFonts w:eastAsiaTheme="minorEastAsia" w:cs="Arial"/>
                <w:color w:val="000000" w:themeColor="text1"/>
                <w:kern w:val="24"/>
              </w:rPr>
              <w:t>]</w:t>
            </w:r>
          </w:p>
        </w:tc>
        <w:tc>
          <w:tcPr>
            <w:tcW w:w="1170" w:type="dxa"/>
            <w:tcBorders>
              <w:top w:val="double" w:sz="4" w:space="0" w:color="auto"/>
              <w:left w:val="double" w:sz="4" w:space="0" w:color="auto"/>
            </w:tcBorders>
            <w:vAlign w:val="bottom"/>
          </w:tcPr>
          <w:p w14:paraId="43043BFA" w14:textId="77777777" w:rsidR="00C54FD1" w:rsidRPr="00552480" w:rsidRDefault="00C54FD1" w:rsidP="001415B6">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125</w:t>
            </w:r>
          </w:p>
        </w:tc>
        <w:tc>
          <w:tcPr>
            <w:tcW w:w="1171" w:type="dxa"/>
            <w:tcBorders>
              <w:top w:val="double" w:sz="4" w:space="0" w:color="auto"/>
              <w:bottom w:val="single" w:sz="4" w:space="0" w:color="auto"/>
            </w:tcBorders>
            <w:vAlign w:val="bottom"/>
          </w:tcPr>
          <w:p w14:paraId="147DC44F" w14:textId="77777777" w:rsidR="00C54FD1" w:rsidRPr="00552480" w:rsidRDefault="00C54FD1" w:rsidP="001415B6">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31.25</w:t>
            </w:r>
          </w:p>
        </w:tc>
        <w:tc>
          <w:tcPr>
            <w:tcW w:w="1170" w:type="dxa"/>
            <w:tcBorders>
              <w:top w:val="double" w:sz="4" w:space="0" w:color="auto"/>
              <w:bottom w:val="single" w:sz="4" w:space="0" w:color="auto"/>
            </w:tcBorders>
            <w:vAlign w:val="bottom"/>
          </w:tcPr>
          <w:p w14:paraId="37E0C00D" w14:textId="77777777" w:rsidR="00C54FD1" w:rsidRPr="00552480" w:rsidRDefault="00C54FD1" w:rsidP="001415B6">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15.63</w:t>
            </w:r>
          </w:p>
        </w:tc>
      </w:tr>
      <w:tr w:rsidR="00C54FD1" w:rsidRPr="003D63C4" w14:paraId="69B1EE80" w14:textId="77777777" w:rsidTr="001415B6">
        <w:tc>
          <w:tcPr>
            <w:tcW w:w="3055" w:type="dxa"/>
            <w:tcBorders>
              <w:right w:val="double" w:sz="4" w:space="0" w:color="auto"/>
            </w:tcBorders>
          </w:tcPr>
          <w:p w14:paraId="2B246E79" w14:textId="77777777" w:rsidR="00C54FD1" w:rsidRPr="00552480" w:rsidRDefault="00C54FD1" w:rsidP="001415B6">
            <w:pPr>
              <w:pStyle w:val="BodyText"/>
              <w:spacing w:before="40" w:after="40"/>
              <w:jc w:val="center"/>
              <w:rPr>
                <w:rFonts w:eastAsiaTheme="minorEastAsia" w:cs="Arial"/>
                <w:color w:val="000000" w:themeColor="text1"/>
                <w:kern w:val="24"/>
              </w:rPr>
            </w:pPr>
            <w:r>
              <w:rPr>
                <w:rFonts w:eastAsiaTheme="minorEastAsia" w:cs="Arial"/>
                <w:color w:val="000000" w:themeColor="text1"/>
                <w:kern w:val="24"/>
              </w:rPr>
              <w:t>D</w:t>
            </w:r>
            <w:r w:rsidRPr="00552480">
              <w:rPr>
                <w:rFonts w:eastAsiaTheme="minorEastAsia" w:cs="Arial"/>
                <w:color w:val="000000" w:themeColor="text1"/>
                <w:kern w:val="24"/>
              </w:rPr>
              <w:t xml:space="preserve">uration </w:t>
            </w:r>
            <w:r>
              <w:rPr>
                <w:rFonts w:eastAsiaTheme="minorEastAsia" w:cs="Arial"/>
                <w:color w:val="000000" w:themeColor="text1"/>
                <w:kern w:val="24"/>
              </w:rPr>
              <w:t xml:space="preserve">of 3 symbols </w:t>
            </w:r>
            <w:r w:rsidRPr="00552480">
              <w:rPr>
                <w:rFonts w:eastAsiaTheme="minorEastAsia" w:cs="Arial"/>
                <w:color w:val="000000" w:themeColor="text1"/>
                <w:kern w:val="24"/>
              </w:rPr>
              <w:t>[</w:t>
            </w:r>
            <w:proofErr w:type="spellStart"/>
            <w:r w:rsidRPr="00552480">
              <w:rPr>
                <w:rFonts w:eastAsiaTheme="minorEastAsia" w:cs="Arial"/>
                <w:color w:val="000000" w:themeColor="text1"/>
                <w:kern w:val="24"/>
              </w:rPr>
              <w:t>μs</w:t>
            </w:r>
            <w:proofErr w:type="spellEnd"/>
            <w:r w:rsidRPr="00552480">
              <w:rPr>
                <w:rFonts w:eastAsiaTheme="minorEastAsia" w:cs="Arial"/>
                <w:color w:val="000000" w:themeColor="text1"/>
                <w:kern w:val="24"/>
              </w:rPr>
              <w:t>]</w:t>
            </w:r>
          </w:p>
        </w:tc>
        <w:tc>
          <w:tcPr>
            <w:tcW w:w="1170" w:type="dxa"/>
            <w:tcBorders>
              <w:left w:val="double" w:sz="4" w:space="0" w:color="auto"/>
            </w:tcBorders>
          </w:tcPr>
          <w:p w14:paraId="2FAEEF8D" w14:textId="77777777" w:rsidR="00C54FD1" w:rsidRPr="00552480" w:rsidRDefault="00C54FD1" w:rsidP="001415B6">
            <w:pPr>
              <w:pStyle w:val="BodyText"/>
              <w:spacing w:before="40" w:after="40"/>
              <w:jc w:val="center"/>
              <w:rPr>
                <w:rFonts w:eastAsiaTheme="minorEastAsia" w:cs="Arial"/>
                <w:color w:val="000000" w:themeColor="text1"/>
                <w:kern w:val="24"/>
              </w:rPr>
            </w:pPr>
            <w:r>
              <w:rPr>
                <w:rFonts w:eastAsiaTheme="minorEastAsia" w:cs="Arial"/>
                <w:color w:val="000000" w:themeColor="text1"/>
                <w:kern w:val="24"/>
              </w:rPr>
              <w:t>26.8</w:t>
            </w:r>
          </w:p>
        </w:tc>
        <w:tc>
          <w:tcPr>
            <w:tcW w:w="1171" w:type="dxa"/>
            <w:tcBorders>
              <w:bottom w:val="nil"/>
              <w:right w:val="nil"/>
            </w:tcBorders>
          </w:tcPr>
          <w:p w14:paraId="6528B4A9" w14:textId="77777777" w:rsidR="00C54FD1" w:rsidRPr="00552480" w:rsidRDefault="00C54FD1" w:rsidP="001415B6">
            <w:pPr>
              <w:pStyle w:val="BodyText"/>
              <w:spacing w:before="40" w:after="40"/>
              <w:jc w:val="center"/>
              <w:rPr>
                <w:rFonts w:eastAsiaTheme="minorEastAsia" w:cs="Arial"/>
                <w:color w:val="000000" w:themeColor="text1"/>
                <w:kern w:val="24"/>
              </w:rPr>
            </w:pPr>
          </w:p>
        </w:tc>
        <w:tc>
          <w:tcPr>
            <w:tcW w:w="1170" w:type="dxa"/>
            <w:tcBorders>
              <w:left w:val="nil"/>
              <w:bottom w:val="nil"/>
              <w:right w:val="nil"/>
            </w:tcBorders>
          </w:tcPr>
          <w:p w14:paraId="65A79953" w14:textId="77777777" w:rsidR="00C54FD1" w:rsidRPr="00552480" w:rsidRDefault="00C54FD1" w:rsidP="001415B6">
            <w:pPr>
              <w:pStyle w:val="BodyText"/>
              <w:spacing w:before="40" w:after="40"/>
              <w:jc w:val="center"/>
              <w:rPr>
                <w:rFonts w:eastAsiaTheme="minorEastAsia" w:cs="Arial"/>
                <w:color w:val="000000" w:themeColor="text1"/>
                <w:kern w:val="24"/>
              </w:rPr>
            </w:pPr>
          </w:p>
        </w:tc>
      </w:tr>
    </w:tbl>
    <w:p w14:paraId="458C8A83" w14:textId="3DDF06DA" w:rsidR="00C54FD1" w:rsidRDefault="00C54FD1" w:rsidP="00247AAC">
      <w:pPr>
        <w:pStyle w:val="BodyText"/>
      </w:pPr>
    </w:p>
    <w:p w14:paraId="00050259" w14:textId="24909BB3" w:rsidR="00247AAC" w:rsidRDefault="003A7693" w:rsidP="00247AAC">
      <w:pPr>
        <w:pStyle w:val="BodyText"/>
      </w:pPr>
      <w:r>
        <w:t>For Alt 3, intra-slot monitoring c</w:t>
      </w:r>
      <w:r w:rsidRPr="00343325">
        <w:t xml:space="preserve">ase </w:t>
      </w:r>
      <w:r>
        <w:t xml:space="preserve">1-1 </w:t>
      </w:r>
      <w:r w:rsidR="003D6FBD">
        <w:t xml:space="preserve">capability </w:t>
      </w:r>
      <w:r>
        <w:t>should be</w:t>
      </w:r>
      <w:r w:rsidR="0008746D">
        <w:t xml:space="preserve"> supported</w:t>
      </w:r>
      <w:r>
        <w:t xml:space="preserve">. </w:t>
      </w:r>
      <w:r w:rsidR="00006175">
        <w:t>Intra-slot monitoring c</w:t>
      </w:r>
      <w:r w:rsidR="00006175" w:rsidRPr="00343325">
        <w:t xml:space="preserve">ase </w:t>
      </w:r>
      <w:r w:rsidR="00006175">
        <w:t>1-</w:t>
      </w:r>
      <w:r w:rsidR="003B1465">
        <w:t>2</w:t>
      </w:r>
      <w:r w:rsidR="00006175">
        <w:t xml:space="preserve"> capability support</w:t>
      </w:r>
      <w:r w:rsidR="003B1465">
        <w:t xml:space="preserve"> </w:t>
      </w:r>
      <w:r w:rsidR="00CD3CBF">
        <w:t xml:space="preserve">can be further studied to see whether there is any </w:t>
      </w:r>
      <w:r w:rsidR="00594704">
        <w:t xml:space="preserve">favorable tradeoff between </w:t>
      </w:r>
      <w:r w:rsidR="003F37CC">
        <w:t xml:space="preserve">added benefits and additional </w:t>
      </w:r>
      <w:r w:rsidR="005F34EF">
        <w:t>complexity.</w:t>
      </w:r>
    </w:p>
    <w:p w14:paraId="5B37BF16" w14:textId="77777777" w:rsidR="00247AAC" w:rsidRPr="00585DB0" w:rsidRDefault="00247AAC" w:rsidP="00247AAC">
      <w:pPr>
        <w:pStyle w:val="BodyText"/>
        <w:rPr>
          <w:b/>
          <w:bCs/>
          <w:u w:val="single"/>
        </w:rPr>
      </w:pPr>
      <w:r w:rsidRPr="00585DB0">
        <w:rPr>
          <w:b/>
          <w:bCs/>
          <w:u w:val="single"/>
        </w:rPr>
        <w:t>Analysis</w:t>
      </w:r>
    </w:p>
    <w:p w14:paraId="4ABEF46D" w14:textId="5F475322" w:rsidR="00A07D3A" w:rsidRDefault="000A6340" w:rsidP="00D7112B">
      <w:pPr>
        <w:pStyle w:val="BodyText"/>
      </w:pPr>
      <w:r>
        <w:t xml:space="preserve">Alt 3 allows </w:t>
      </w:r>
      <w:r w:rsidR="00AE1D81">
        <w:t xml:space="preserve">the </w:t>
      </w:r>
      <w:r w:rsidR="000F37A8">
        <w:t xml:space="preserve">network </w:t>
      </w:r>
      <w:r w:rsidR="009E01A8">
        <w:t xml:space="preserve">to </w:t>
      </w:r>
      <w:r w:rsidR="009E01A8" w:rsidRPr="009E01A8">
        <w:t>stagger USSs for different UEs in different slots</w:t>
      </w:r>
      <w:r>
        <w:t xml:space="preserve"> </w:t>
      </w:r>
      <w:r w:rsidR="005C335B">
        <w:t xml:space="preserve">while </w:t>
      </w:r>
      <w:r w:rsidR="005C335B" w:rsidRPr="00EC515B">
        <w:t>recognizing that a slot containing CSS is common for all users.</w:t>
      </w:r>
      <w:r w:rsidR="005C335B">
        <w:t xml:space="preserve"> It is also possible for the network </w:t>
      </w:r>
      <w:r>
        <w:t xml:space="preserve">to distribute the UEs’ N-slot PDCCH processing capabilities,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oMath>
      <w:r>
        <w:rPr>
          <w:rFonts w:eastAsiaTheme="minorEastAsia"/>
        </w:rPr>
        <w:t>, over the N-slot span (for example, all in one slot or over several slots)</w:t>
      </w:r>
      <w:r w:rsidR="0061069E">
        <w:rPr>
          <w:rFonts w:eastAsiaTheme="minorEastAsia"/>
        </w:rPr>
        <w:t xml:space="preserve">. </w:t>
      </w:r>
      <w:r w:rsidR="009E01A8">
        <w:t xml:space="preserve">Alt 3 </w:t>
      </w:r>
      <w:r w:rsidR="0061069E">
        <w:t xml:space="preserve">thus </w:t>
      </w:r>
      <w:r w:rsidR="009E01A8">
        <w:t xml:space="preserve">provides the beneficial flexibility </w:t>
      </w:r>
      <w:r w:rsidR="0061069E">
        <w:t xml:space="preserve">for the network to jointly consider </w:t>
      </w:r>
      <w:r w:rsidR="008C4627">
        <w:t xml:space="preserve">and optimize the various requirements from different UEs and network in terms of capabilities, latency requirements and PDCCH resource capacities. </w:t>
      </w:r>
    </w:p>
    <w:p w14:paraId="50472A14" w14:textId="6EA6B40A" w:rsidR="006151A3" w:rsidRDefault="006151A3" w:rsidP="006151A3">
      <w:pPr>
        <w:pStyle w:val="BodyText"/>
      </w:pPr>
      <w:r>
        <w:t xml:space="preserve">One question regarding Alt 3 raised in last RAN1 meeting was related to UE power </w:t>
      </w:r>
      <w:r w:rsidR="00F93E3D">
        <w:t xml:space="preserve">consumption. </w:t>
      </w:r>
      <w:r w:rsidR="0049069B">
        <w:t>There</w:t>
      </w:r>
      <w:r w:rsidR="00F93E3D">
        <w:t xml:space="preserve"> was </w:t>
      </w:r>
      <w:r w:rsidR="0049069B">
        <w:t xml:space="preserve">a </w:t>
      </w:r>
      <w:r w:rsidR="00F93E3D">
        <w:t xml:space="preserve">concern that there may be lack </w:t>
      </w:r>
      <w:r w:rsidR="00A30B01">
        <w:t xml:space="preserve">of micro-sleep opportunities </w:t>
      </w:r>
      <w:r w:rsidR="00A30B01" w:rsidRPr="00523ED4">
        <w:rPr>
          <w:i/>
          <w:iCs/>
          <w:u w:val="single"/>
        </w:rPr>
        <w:t>if</w:t>
      </w:r>
      <w:r w:rsidR="00A30B01">
        <w:t xml:space="preserve"> UEs are configured to monitor in every slot. </w:t>
      </w:r>
      <w:r w:rsidR="00D83903">
        <w:t xml:space="preserve">However, as discussed in the above, the </w:t>
      </w:r>
      <w:r w:rsidR="00261EC2">
        <w:t xml:space="preserve">network configures the PDCCH monitoring patterns for each UE based on the requirements </w:t>
      </w:r>
      <w:r w:rsidR="006C6658">
        <w:t xml:space="preserve">on service latency, UE power consumption and network scheduling resources. If a UE does not need low latency and the network scheduling resources are not constrained, the network will configure the PDCCH monitoring patterns as those shown </w:t>
      </w:r>
      <w:r w:rsidR="00526F58">
        <w:t xml:space="preserve">in </w:t>
      </w:r>
      <w:r w:rsidR="00526F58">
        <w:fldChar w:fldCharType="begin"/>
      </w:r>
      <w:r w:rsidR="00526F58">
        <w:instrText xml:space="preserve"> REF _Ref67650039 \h </w:instrText>
      </w:r>
      <w:r w:rsidR="00526F58">
        <w:fldChar w:fldCharType="separate"/>
      </w:r>
      <w:r w:rsidR="00711D1F" w:rsidRPr="009B6F32">
        <w:t xml:space="preserve">Figure </w:t>
      </w:r>
      <w:r w:rsidR="00711D1F">
        <w:rPr>
          <w:noProof/>
        </w:rPr>
        <w:t>9</w:t>
      </w:r>
      <w:r w:rsidR="00526F58">
        <w:fldChar w:fldCharType="end"/>
      </w:r>
      <w:r w:rsidR="00526F58">
        <w:t xml:space="preserve"> to provide micro-sleep opportunities to the UEs. </w:t>
      </w:r>
      <w:r w:rsidR="00F54EC8">
        <w:t xml:space="preserve">PDCCH monitoring patterns as those shown in </w:t>
      </w:r>
      <w:r w:rsidR="00F54EC8">
        <w:fldChar w:fldCharType="begin"/>
      </w:r>
      <w:r w:rsidR="00F54EC8">
        <w:instrText xml:space="preserve"> REF _Ref67650444 \h </w:instrText>
      </w:r>
      <w:r w:rsidR="00F54EC8">
        <w:fldChar w:fldCharType="separate"/>
      </w:r>
      <w:r w:rsidR="00711D1F" w:rsidRPr="009B6F32">
        <w:t xml:space="preserve">Figure </w:t>
      </w:r>
      <w:r w:rsidR="00711D1F">
        <w:rPr>
          <w:noProof/>
        </w:rPr>
        <w:t>10</w:t>
      </w:r>
      <w:r w:rsidR="00F54EC8">
        <w:fldChar w:fldCharType="end"/>
      </w:r>
      <w:r w:rsidR="00F54EC8">
        <w:t xml:space="preserve"> and </w:t>
      </w:r>
      <w:r w:rsidR="00F54EC8">
        <w:fldChar w:fldCharType="begin"/>
      </w:r>
      <w:r w:rsidR="00F54EC8">
        <w:instrText xml:space="preserve"> REF _Ref67650692 \h </w:instrText>
      </w:r>
      <w:r w:rsidR="00F54EC8">
        <w:fldChar w:fldCharType="separate"/>
      </w:r>
      <w:r w:rsidR="00711D1F" w:rsidRPr="009B6F32">
        <w:t xml:space="preserve">Figure </w:t>
      </w:r>
      <w:r w:rsidR="00711D1F">
        <w:rPr>
          <w:noProof/>
        </w:rPr>
        <w:t>11</w:t>
      </w:r>
      <w:r w:rsidR="00F54EC8">
        <w:fldChar w:fldCharType="end"/>
      </w:r>
      <w:r w:rsidR="00F54EC8">
        <w:t xml:space="preserve"> </w:t>
      </w:r>
      <w:r w:rsidR="00F75C57">
        <w:t xml:space="preserve">are configured to a UE </w:t>
      </w:r>
      <w:r w:rsidR="00F75C57" w:rsidRPr="00902415">
        <w:rPr>
          <w:u w:val="single"/>
        </w:rPr>
        <w:t>only when necessary</w:t>
      </w:r>
      <w:r w:rsidR="00F75C57">
        <w:t>.</w:t>
      </w:r>
    </w:p>
    <w:p w14:paraId="38198BDF" w14:textId="77777777" w:rsidR="008B099C" w:rsidRDefault="008B099C" w:rsidP="006151A3">
      <w:pPr>
        <w:pStyle w:val="BodyText"/>
      </w:pPr>
    </w:p>
    <w:p w14:paraId="0B2A433B" w14:textId="3E05C0DB" w:rsidR="008B099C" w:rsidRDefault="008B099C" w:rsidP="008B099C">
      <w:pPr>
        <w:pStyle w:val="Observation"/>
      </w:pPr>
      <w:bookmarkStart w:id="26" w:name="_Toc68610477"/>
      <w:r>
        <w:t>Alt 3 allow the network to flexibl</w:t>
      </w:r>
      <w:r w:rsidR="00D137D4">
        <w:t>y</w:t>
      </w:r>
      <w:r>
        <w:t xml:space="preserve"> spread the UEs’ N-slot PDCCH processing capabilities, </w:t>
      </w:r>
      <m:oMath>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N</m:t>
            </m:r>
            <m:r>
              <m:rPr>
                <m:nor/>
              </m:rPr>
              <w:rPr>
                <w:rFonts w:ascii="Cambria Math" w:hAnsi="Cambria Math"/>
              </w:rPr>
              <m:t>-slot</m:t>
            </m:r>
          </m:sup>
        </m:sSup>
      </m:oMath>
      <w:r>
        <w:rPr>
          <w:rFonts w:eastAsiaTheme="minorEastAsia"/>
        </w:rPr>
        <w:t xml:space="preserve">, over the N-slot span (for example, all in one slot or over several slots) to </w:t>
      </w:r>
      <w:r>
        <w:t>optimize the various requirements from different UEs and network in terms of capabilities, latency requirements, PDCCH resource capacities and power savings.</w:t>
      </w:r>
      <w:bookmarkEnd w:id="26"/>
    </w:p>
    <w:p w14:paraId="6F61DE16" w14:textId="77777777" w:rsidR="008B099C" w:rsidRDefault="008B099C" w:rsidP="008B099C">
      <w:pPr>
        <w:pStyle w:val="BodyText"/>
      </w:pPr>
    </w:p>
    <w:p w14:paraId="1A898982" w14:textId="6C412F23" w:rsidR="008825E6" w:rsidRDefault="00520B86" w:rsidP="00D7112B">
      <w:pPr>
        <w:pStyle w:val="BodyText"/>
      </w:pPr>
      <w:r>
        <w:t xml:space="preserve">Another question raised </w:t>
      </w:r>
      <w:r w:rsidR="00BF7EBF">
        <w:t xml:space="preserve">in the last RAN1 meeting </w:t>
      </w:r>
      <w:r>
        <w:t>is related to</w:t>
      </w:r>
      <w:r w:rsidR="008825E6">
        <w:t xml:space="preserve"> how PDCCH overbooking</w:t>
      </w:r>
      <w:r w:rsidR="0034795D">
        <w:t>/</w:t>
      </w:r>
      <w:r w:rsidR="008825E6">
        <w:t>dropping is applied under Alt 3.</w:t>
      </w:r>
      <w:r w:rsidR="00E0721D">
        <w:t xml:space="preserve"> One question was </w:t>
      </w:r>
      <w:r w:rsidR="009A2080">
        <w:t xml:space="preserve">as </w:t>
      </w:r>
      <w:r w:rsidR="00E0721D">
        <w:t xml:space="preserve">to whether there may be cases </w:t>
      </w:r>
      <w:r w:rsidR="009A2080">
        <w:t>whether a monitoring occasion is to be dropped in one sliding window but retained in another sliding window.</w:t>
      </w:r>
      <w:r w:rsidR="008D2832">
        <w:t xml:space="preserve"> </w:t>
      </w:r>
      <w:r w:rsidR="00F840D5">
        <w:t xml:space="preserve">This question seems to be similar to the </w:t>
      </w:r>
      <w:r w:rsidR="00D370E7">
        <w:t xml:space="preserve">discussion on whether Alt 2 support the PDCCH monitoring configuration shown in </w:t>
      </w:r>
      <w:r w:rsidR="00C57697">
        <w:fldChar w:fldCharType="begin"/>
      </w:r>
      <w:r w:rsidR="00C57697">
        <w:instrText xml:space="preserve"> REF _Ref67495153 \h </w:instrText>
      </w:r>
      <w:r w:rsidR="00C57697">
        <w:fldChar w:fldCharType="separate"/>
      </w:r>
      <w:r w:rsidR="00711D1F" w:rsidRPr="009B6F32">
        <w:t xml:space="preserve">Figure </w:t>
      </w:r>
      <w:r w:rsidR="00711D1F">
        <w:rPr>
          <w:noProof/>
        </w:rPr>
        <w:t>6</w:t>
      </w:r>
      <w:r w:rsidR="00C57697">
        <w:fldChar w:fldCharType="end"/>
      </w:r>
      <w:r w:rsidR="00C57697">
        <w:t xml:space="preserve"> and </w:t>
      </w:r>
      <w:r w:rsidR="00C57697">
        <w:fldChar w:fldCharType="begin"/>
      </w:r>
      <w:r w:rsidR="00C57697">
        <w:instrText xml:space="preserve"> REF _Ref67495528 \h </w:instrText>
      </w:r>
      <w:r w:rsidR="00C57697">
        <w:fldChar w:fldCharType="separate"/>
      </w:r>
      <w:r w:rsidR="00711D1F" w:rsidRPr="009B6F32">
        <w:t xml:space="preserve">Figure </w:t>
      </w:r>
      <w:r w:rsidR="00711D1F">
        <w:rPr>
          <w:noProof/>
        </w:rPr>
        <w:t>7</w:t>
      </w:r>
      <w:r w:rsidR="00C57697">
        <w:fldChar w:fldCharType="end"/>
      </w:r>
      <w:r w:rsidR="00D370E7">
        <w:t>.</w:t>
      </w:r>
    </w:p>
    <w:p w14:paraId="20D09FC4" w14:textId="6530656D" w:rsidR="008D2832" w:rsidRDefault="0034795D" w:rsidP="00D7112B">
      <w:pPr>
        <w:pStyle w:val="BodyText"/>
      </w:pPr>
      <w:r>
        <w:t>The NR PDCCH overbooking/dropping schemes are designed based on the following Rel-15 agreements:</w:t>
      </w:r>
    </w:p>
    <w:p w14:paraId="7FE3347C" w14:textId="4CB450BB" w:rsidR="000F5442" w:rsidRDefault="000F5442" w:rsidP="000F5442">
      <w:pPr>
        <w:pStyle w:val="BodyText"/>
        <w:numPr>
          <w:ilvl w:val="0"/>
          <w:numId w:val="44"/>
        </w:numPr>
        <w:contextualSpacing/>
      </w:pPr>
      <w:r>
        <w:t>Overbooking is not allowed for CSS.</w:t>
      </w:r>
    </w:p>
    <w:p w14:paraId="4A61694A" w14:textId="04B6B847" w:rsidR="000F5442" w:rsidRDefault="003328CA" w:rsidP="000F5442">
      <w:pPr>
        <w:pStyle w:val="BodyText"/>
        <w:numPr>
          <w:ilvl w:val="0"/>
          <w:numId w:val="44"/>
        </w:numPr>
        <w:contextualSpacing/>
      </w:pPr>
      <w:r>
        <w:t>O</w:t>
      </w:r>
      <w:r w:rsidR="000F5442">
        <w:t xml:space="preserve">verbooking is not allowed for </w:t>
      </w:r>
      <w:proofErr w:type="spellStart"/>
      <w:r w:rsidR="000F5442">
        <w:t>SCells</w:t>
      </w:r>
      <w:proofErr w:type="spellEnd"/>
      <w:r w:rsidR="000F5442">
        <w:t>.</w:t>
      </w:r>
    </w:p>
    <w:p w14:paraId="7131BE6E" w14:textId="3FD6DA27" w:rsidR="00407998" w:rsidRDefault="000436B9" w:rsidP="000D4138">
      <w:pPr>
        <w:pStyle w:val="BodyText"/>
        <w:numPr>
          <w:ilvl w:val="0"/>
          <w:numId w:val="44"/>
        </w:numPr>
        <w:contextualSpacing/>
      </w:pPr>
      <w:r>
        <w:t xml:space="preserve">For the </w:t>
      </w:r>
      <w:proofErr w:type="spellStart"/>
      <w:r>
        <w:t>PCell</w:t>
      </w:r>
      <w:proofErr w:type="spellEnd"/>
      <w:r>
        <w:t>, s</w:t>
      </w:r>
      <w:r w:rsidR="00407998">
        <w:t xml:space="preserve">lots are checked one at a time </w:t>
      </w:r>
      <w:r w:rsidR="001531BD">
        <w:t>(indexed by the slot number).</w:t>
      </w:r>
    </w:p>
    <w:p w14:paraId="4146EE9F" w14:textId="5DDA225F" w:rsidR="004B3692" w:rsidRDefault="00117E0A" w:rsidP="001531BD">
      <w:pPr>
        <w:pStyle w:val="BodyText"/>
        <w:numPr>
          <w:ilvl w:val="1"/>
          <w:numId w:val="44"/>
        </w:numPr>
        <w:contextualSpacing/>
      </w:pPr>
      <w:r>
        <w:t xml:space="preserve">For a slot, the </w:t>
      </w:r>
      <w:r w:rsidR="000F5442">
        <w:t>USS are considered one at a time based on their ID.</w:t>
      </w:r>
    </w:p>
    <w:p w14:paraId="5521D940" w14:textId="7935563D" w:rsidR="0034795D" w:rsidRDefault="000D4138" w:rsidP="001531BD">
      <w:pPr>
        <w:pStyle w:val="BodyText"/>
        <w:numPr>
          <w:ilvl w:val="2"/>
          <w:numId w:val="44"/>
        </w:numPr>
      </w:pPr>
      <w:r>
        <w:t>If the UE processing capabilities are exceeded in the slot,</w:t>
      </w:r>
      <w:r w:rsidR="000F5442">
        <w:t xml:space="preserve"> </w:t>
      </w:r>
      <w:r w:rsidR="00833B21">
        <w:t>the USS is dropped from the slot. A</w:t>
      </w:r>
      <w:r w:rsidR="000F5442">
        <w:t xml:space="preserve">ll subsequent USS are </w:t>
      </w:r>
      <w:r w:rsidR="00833B21">
        <w:t xml:space="preserve">also </w:t>
      </w:r>
      <w:r w:rsidR="000F5442">
        <w:t>dropped</w:t>
      </w:r>
      <w:r w:rsidR="008717AA">
        <w:t xml:space="preserve"> from the slot</w:t>
      </w:r>
      <w:r w:rsidR="000F5442">
        <w:t>.</w:t>
      </w:r>
    </w:p>
    <w:p w14:paraId="39620C56" w14:textId="401BC1E6" w:rsidR="00412551" w:rsidRDefault="00620129" w:rsidP="00546E6E">
      <w:pPr>
        <w:pStyle w:val="BodyText"/>
      </w:pPr>
      <w:r>
        <w:t xml:space="preserve">While </w:t>
      </w:r>
      <w:r w:rsidR="0092445C">
        <w:t xml:space="preserve">overbooking </w:t>
      </w:r>
      <w:r>
        <w:t xml:space="preserve">USS on </w:t>
      </w:r>
      <w:proofErr w:type="spellStart"/>
      <w:r>
        <w:t>PCells</w:t>
      </w:r>
      <w:proofErr w:type="spellEnd"/>
      <w:r>
        <w:t xml:space="preserve"> is not explicitly forbidden, overbooking </w:t>
      </w:r>
      <w:r w:rsidR="00546E6E">
        <w:t xml:space="preserve">of USS on its own is not used in practice </w:t>
      </w:r>
      <w:r w:rsidRPr="00291856">
        <w:t xml:space="preserve">since the extraneous USS will </w:t>
      </w:r>
      <w:r w:rsidR="00FC2555">
        <w:t xml:space="preserve">almost always </w:t>
      </w:r>
      <w:r w:rsidRPr="00291856">
        <w:t>be dropped.</w:t>
      </w:r>
      <w:r w:rsidR="00B96EBC">
        <w:t xml:space="preserve"> </w:t>
      </w:r>
      <w:r w:rsidR="00FC2555">
        <w:t xml:space="preserve">There is hence little </w:t>
      </w:r>
      <w:r w:rsidR="003B741F">
        <w:t>use</w:t>
      </w:r>
      <w:r w:rsidR="00FC2555">
        <w:t xml:space="preserve"> in </w:t>
      </w:r>
      <w:r w:rsidR="0064519C">
        <w:t xml:space="preserve">overbooking the USS on its own. </w:t>
      </w:r>
      <w:r w:rsidR="00AB7558">
        <w:t xml:space="preserve">PDCCH dropping is in practice </w:t>
      </w:r>
      <w:r w:rsidR="00F1397C">
        <w:t xml:space="preserve">an issue only when CSS and USS monitoring locations are in the same slot of a </w:t>
      </w:r>
      <w:proofErr w:type="spellStart"/>
      <w:r w:rsidR="00F1397C">
        <w:t>PCell</w:t>
      </w:r>
      <w:proofErr w:type="spellEnd"/>
      <w:r w:rsidR="00F1397C">
        <w:t>.</w:t>
      </w:r>
    </w:p>
    <w:p w14:paraId="7A0EC145" w14:textId="77777777" w:rsidR="009A2080" w:rsidRDefault="00412551" w:rsidP="00D7112B">
      <w:pPr>
        <w:pStyle w:val="BodyText"/>
      </w:pPr>
      <w:r>
        <w:t>For Rel-17</w:t>
      </w:r>
      <w:r w:rsidR="00133B1E">
        <w:t xml:space="preserve"> with </w:t>
      </w:r>
      <w:r w:rsidR="00133B1E" w:rsidRPr="00291856">
        <w:t xml:space="preserve">capability defined for </w:t>
      </w:r>
      <w:r w:rsidR="00133B1E">
        <w:t>N</w:t>
      </w:r>
      <w:r w:rsidR="00133B1E" w:rsidRPr="00291856">
        <w:t xml:space="preserve"> slots, there are </w:t>
      </w:r>
      <w:r w:rsidR="00133B1E">
        <w:t xml:space="preserve">N </w:t>
      </w:r>
      <w:r w:rsidR="00133B1E" w:rsidRPr="00291856">
        <w:t>sliding windows</w:t>
      </w:r>
      <w:r w:rsidR="00133B1E">
        <w:t xml:space="preserve"> covering a monitoring occasion.</w:t>
      </w:r>
      <w:r w:rsidR="008A5ADF">
        <w:t xml:space="preserve"> We can consider the following PDCCH overbooking/dropping rules:</w:t>
      </w:r>
    </w:p>
    <w:p w14:paraId="4A1465F2" w14:textId="77777777" w:rsidR="00133B1E" w:rsidRDefault="00133B1E" w:rsidP="00133B1E">
      <w:pPr>
        <w:pStyle w:val="BodyText"/>
        <w:numPr>
          <w:ilvl w:val="0"/>
          <w:numId w:val="44"/>
        </w:numPr>
        <w:contextualSpacing/>
      </w:pPr>
      <w:r>
        <w:t>Overbooking is not allowed for CSS.</w:t>
      </w:r>
    </w:p>
    <w:p w14:paraId="0B97E024" w14:textId="77777777" w:rsidR="00133B1E" w:rsidRDefault="00133B1E" w:rsidP="00133B1E">
      <w:pPr>
        <w:pStyle w:val="BodyText"/>
        <w:numPr>
          <w:ilvl w:val="0"/>
          <w:numId w:val="44"/>
        </w:numPr>
        <w:contextualSpacing/>
      </w:pPr>
      <w:r>
        <w:t xml:space="preserve">Overbooking is not allowed for </w:t>
      </w:r>
      <w:proofErr w:type="spellStart"/>
      <w:r>
        <w:t>SCells</w:t>
      </w:r>
      <w:proofErr w:type="spellEnd"/>
      <w:r>
        <w:t>.</w:t>
      </w:r>
    </w:p>
    <w:p w14:paraId="163D1436" w14:textId="27029E12" w:rsidR="001531BD" w:rsidRDefault="000436B9" w:rsidP="00133B1E">
      <w:pPr>
        <w:pStyle w:val="BodyText"/>
        <w:numPr>
          <w:ilvl w:val="0"/>
          <w:numId w:val="44"/>
        </w:numPr>
        <w:contextualSpacing/>
      </w:pPr>
      <w:r>
        <w:t xml:space="preserve">For the </w:t>
      </w:r>
      <w:proofErr w:type="spellStart"/>
      <w:r>
        <w:t>PCell</w:t>
      </w:r>
      <w:proofErr w:type="spellEnd"/>
      <w:r>
        <w:t xml:space="preserve">, </w:t>
      </w:r>
      <w:r w:rsidR="00D518E7">
        <w:t xml:space="preserve">a </w:t>
      </w:r>
      <w:r w:rsidR="001531BD">
        <w:t xml:space="preserve">window of N slots </w:t>
      </w:r>
      <w:r w:rsidR="00D518E7">
        <w:t xml:space="preserve">sliding forward in time is </w:t>
      </w:r>
      <w:r w:rsidR="001531BD">
        <w:t xml:space="preserve">checked one </w:t>
      </w:r>
      <w:r w:rsidR="00D518E7">
        <w:t xml:space="preserve">sliding position </w:t>
      </w:r>
      <w:r w:rsidR="001531BD">
        <w:t>at a time (indexed by the slot number of its first slot).</w:t>
      </w:r>
    </w:p>
    <w:p w14:paraId="348FBA21" w14:textId="0A18BCFA" w:rsidR="005A3566" w:rsidRDefault="00BF4AF2" w:rsidP="001531BD">
      <w:pPr>
        <w:pStyle w:val="BodyText"/>
        <w:numPr>
          <w:ilvl w:val="1"/>
          <w:numId w:val="44"/>
        </w:numPr>
        <w:contextualSpacing/>
      </w:pPr>
      <w:r>
        <w:t>For a sliding window</w:t>
      </w:r>
      <w:r w:rsidR="00D518E7">
        <w:t xml:space="preserve"> at a given position</w:t>
      </w:r>
      <w:r>
        <w:t xml:space="preserve">, the </w:t>
      </w:r>
      <w:r w:rsidR="00133B1E">
        <w:t>USS are considered one at a time based on their ID.</w:t>
      </w:r>
    </w:p>
    <w:p w14:paraId="309FE5A0" w14:textId="4D490217" w:rsidR="00D518E7" w:rsidRDefault="00E278BA" w:rsidP="00D518E7">
      <w:pPr>
        <w:pStyle w:val="BodyText"/>
        <w:numPr>
          <w:ilvl w:val="2"/>
          <w:numId w:val="44"/>
        </w:numPr>
      </w:pPr>
      <w:r>
        <w:t xml:space="preserve">If the UE processing capabilities are exceeded in the window, </w:t>
      </w:r>
      <w:r w:rsidR="00B73495">
        <w:t xml:space="preserve">monitoring occasions of </w:t>
      </w:r>
      <w:r w:rsidR="00F94621">
        <w:t xml:space="preserve">the USS </w:t>
      </w:r>
      <w:r w:rsidR="00DA0110">
        <w:t xml:space="preserve">are </w:t>
      </w:r>
      <w:r w:rsidR="00F94621">
        <w:t>dropped from the window. All subsequent USS are also dropped from the window</w:t>
      </w:r>
      <w:r w:rsidR="00D518E7">
        <w:t>.</w:t>
      </w:r>
    </w:p>
    <w:p w14:paraId="63E1B027" w14:textId="49C92E90" w:rsidR="00D518E7" w:rsidRDefault="00D518E7" w:rsidP="00CE0733">
      <w:pPr>
        <w:pStyle w:val="BodyText"/>
        <w:numPr>
          <w:ilvl w:val="1"/>
          <w:numId w:val="44"/>
        </w:numPr>
      </w:pPr>
      <w:r>
        <w:t>If a</w:t>
      </w:r>
      <w:r w:rsidRPr="00D518E7">
        <w:t xml:space="preserve"> monitoring occasion within an earlier position of the sliding window is dropped, the same monitoring occasion is also dropped within a later position of the sliding </w:t>
      </w:r>
      <w:proofErr w:type="gramStart"/>
      <w:r w:rsidRPr="00D518E7">
        <w:t>window, and</w:t>
      </w:r>
      <w:proofErr w:type="gramEnd"/>
      <w:r w:rsidRPr="00D518E7">
        <w:t xml:space="preserve"> is thus not counted toward the PDCCH processing budget for the later sliding window position.</w:t>
      </w:r>
    </w:p>
    <w:p w14:paraId="647758E9" w14:textId="0ADCCE29" w:rsidR="008059DF" w:rsidRDefault="006164D0" w:rsidP="00D7112B">
      <w:pPr>
        <w:pStyle w:val="BodyText"/>
      </w:pPr>
      <w:r>
        <w:t xml:space="preserve">In the following </w:t>
      </w:r>
      <w:r w:rsidR="00E77D90">
        <w:t xml:space="preserve">four </w:t>
      </w:r>
      <w:r>
        <w:t>example</w:t>
      </w:r>
      <w:r w:rsidR="00EA3B70">
        <w:t>s</w:t>
      </w:r>
      <w:r w:rsidR="00EB4817">
        <w:t xml:space="preserve"> illustrated in </w:t>
      </w:r>
      <w:r w:rsidR="00EB4817">
        <w:fldChar w:fldCharType="begin"/>
      </w:r>
      <w:r w:rsidR="00EB4817">
        <w:instrText xml:space="preserve"> REF _Ref67924947 \h </w:instrText>
      </w:r>
      <w:r w:rsidR="00EB4817">
        <w:fldChar w:fldCharType="separate"/>
      </w:r>
      <w:r w:rsidR="00711D1F" w:rsidRPr="009B6F32">
        <w:t xml:space="preserve">Figure </w:t>
      </w:r>
      <w:r w:rsidR="00711D1F">
        <w:rPr>
          <w:noProof/>
        </w:rPr>
        <w:t>12</w:t>
      </w:r>
      <w:r w:rsidR="00EB4817">
        <w:fldChar w:fldCharType="end"/>
      </w:r>
      <w:r>
        <w:t xml:space="preserve">, the UE is capable of support </w:t>
      </w:r>
      <m:oMath>
        <m:sSup>
          <m:sSupPr>
            <m:ctrlPr>
              <w:rPr>
                <w:rFonts w:ascii="Cambria Math" w:hAnsi="Cambria Math"/>
                <w:i/>
              </w:rPr>
            </m:ctrlPr>
          </m:sSupPr>
          <m:e>
            <m:r>
              <w:rPr>
                <w:rFonts w:ascii="Cambria Math" w:hAnsi="Cambria Math"/>
              </w:rPr>
              <m:t>M</m:t>
            </m:r>
          </m:e>
          <m:sup>
            <m:r>
              <w:rPr>
                <w:rFonts w:ascii="Cambria Math" w:hAnsi="Cambria Math"/>
              </w:rPr>
              <m:t>4</m:t>
            </m:r>
            <m:r>
              <m:rPr>
                <m:nor/>
              </m:rPr>
              <w:rPr>
                <w:rFonts w:ascii="Cambria Math" w:hAnsi="Cambria Math"/>
              </w:rPr>
              <m:t>-slot</m:t>
            </m:r>
          </m:sup>
        </m:sSup>
        <m:r>
          <w:rPr>
            <w:rFonts w:ascii="Cambria Math" w:hAnsi="Cambria Math"/>
          </w:rPr>
          <m:t>=2C</m:t>
        </m:r>
      </m:oMath>
      <w:r w:rsidR="00DD06F7">
        <w:rPr>
          <w:rFonts w:eastAsiaTheme="minorEastAsia"/>
        </w:rPr>
        <w:t xml:space="preserve">, where each CSS </w:t>
      </w:r>
      <w:r w:rsidR="00F8323C">
        <w:rPr>
          <w:rFonts w:eastAsiaTheme="minorEastAsia"/>
        </w:rPr>
        <w:t xml:space="preserve">(periodicity of </w:t>
      </w:r>
      <w:r w:rsidR="00BE7231">
        <w:rPr>
          <w:rFonts w:eastAsiaTheme="minorEastAsia"/>
        </w:rPr>
        <w:t xml:space="preserve">16 slots) </w:t>
      </w:r>
      <w:r w:rsidR="00DD06F7">
        <w:rPr>
          <w:rFonts w:eastAsiaTheme="minorEastAsia"/>
        </w:rPr>
        <w:t xml:space="preserve">or USS </w:t>
      </w:r>
      <w:r w:rsidR="00BE7231">
        <w:rPr>
          <w:rFonts w:eastAsiaTheme="minorEastAsia"/>
        </w:rPr>
        <w:t xml:space="preserve">(periodicity of 4 slots) </w:t>
      </w:r>
      <w:r w:rsidR="004E6713">
        <w:rPr>
          <w:rFonts w:eastAsiaTheme="minorEastAsia"/>
        </w:rPr>
        <w:t xml:space="preserve">monitoring occasion </w:t>
      </w:r>
      <w:r w:rsidR="00DD06F7">
        <w:rPr>
          <w:rFonts w:eastAsiaTheme="minorEastAsia"/>
        </w:rPr>
        <w:t xml:space="preserve">requires </w:t>
      </w:r>
      <w:r w:rsidR="00170A7E">
        <w:rPr>
          <w:rFonts w:eastAsiaTheme="minorEastAsia"/>
        </w:rPr>
        <w:t xml:space="preserve">PDCCH processing load of </w:t>
      </w:r>
      <m:oMath>
        <m:r>
          <w:rPr>
            <w:rFonts w:ascii="Cambria Math" w:eastAsiaTheme="minorEastAsia" w:hAnsi="Cambria Math"/>
          </w:rPr>
          <m:t>C</m:t>
        </m:r>
      </m:oMath>
      <w:r w:rsidR="00B72AE9">
        <w:rPr>
          <w:rFonts w:eastAsiaTheme="minorEastAsia"/>
        </w:rPr>
        <w:t xml:space="preserve">. </w:t>
      </w:r>
      <w:r w:rsidR="00BA2410">
        <w:rPr>
          <w:rFonts w:eastAsiaTheme="minorEastAsia"/>
        </w:rPr>
        <w:t xml:space="preserve">No overbooking is allowed for </w:t>
      </w:r>
      <w:r w:rsidR="00317899">
        <w:rPr>
          <w:rFonts w:eastAsiaTheme="minorEastAsia"/>
        </w:rPr>
        <w:t>CSS. USS1 is first checked and no dropping is necessary for any of</w:t>
      </w:r>
      <w:r w:rsidR="00E94E21">
        <w:rPr>
          <w:rFonts w:eastAsiaTheme="minorEastAsia"/>
        </w:rPr>
        <w:t xml:space="preserve"> its</w:t>
      </w:r>
      <w:r w:rsidR="00317899">
        <w:rPr>
          <w:rFonts w:eastAsiaTheme="minorEastAsia"/>
        </w:rPr>
        <w:t xml:space="preserve"> monitoring occasions. </w:t>
      </w:r>
      <w:r w:rsidR="005F4FA9">
        <w:rPr>
          <w:rFonts w:eastAsiaTheme="minorEastAsia"/>
        </w:rPr>
        <w:t xml:space="preserve">USS2 </w:t>
      </w:r>
      <w:r w:rsidR="00C52D6A">
        <w:rPr>
          <w:rFonts w:eastAsiaTheme="minorEastAsia"/>
        </w:rPr>
        <w:t>is then checked</w:t>
      </w:r>
      <w:r w:rsidR="00557FBD">
        <w:rPr>
          <w:rFonts w:eastAsiaTheme="minorEastAsia"/>
        </w:rPr>
        <w:t xml:space="preserve">. </w:t>
      </w:r>
      <w:r w:rsidR="00B7745A">
        <w:rPr>
          <w:rFonts w:eastAsiaTheme="minorEastAsia"/>
        </w:rPr>
        <w:t xml:space="preserve">Whenever the PDCCH processing load exceeds the UE capability in a first </w:t>
      </w:r>
      <w:r w:rsidR="009541EE">
        <w:rPr>
          <w:rFonts w:eastAsiaTheme="minorEastAsia"/>
        </w:rPr>
        <w:t xml:space="preserve">position of the </w:t>
      </w:r>
      <w:r w:rsidR="00B7745A">
        <w:rPr>
          <w:rFonts w:eastAsiaTheme="minorEastAsia"/>
        </w:rPr>
        <w:t xml:space="preserve">sliding </w:t>
      </w:r>
      <w:r w:rsidR="00D56D09">
        <w:rPr>
          <w:rFonts w:eastAsiaTheme="minorEastAsia"/>
        </w:rPr>
        <w:t>window</w:t>
      </w:r>
      <w:r w:rsidR="004F4FBB">
        <w:rPr>
          <w:rFonts w:eastAsiaTheme="minorEastAsia"/>
        </w:rPr>
        <w:t xml:space="preserve"> (highlighted in the illustrat</w:t>
      </w:r>
      <w:r w:rsidR="00362B21">
        <w:rPr>
          <w:rFonts w:eastAsiaTheme="minorEastAsia"/>
        </w:rPr>
        <w:t>ion)</w:t>
      </w:r>
      <w:r w:rsidR="00D56D09">
        <w:rPr>
          <w:rFonts w:eastAsiaTheme="minorEastAsia"/>
        </w:rPr>
        <w:t xml:space="preserve">, the monitoring occasion </w:t>
      </w:r>
      <w:r w:rsidR="00531B37">
        <w:rPr>
          <w:rFonts w:eastAsiaTheme="minorEastAsia"/>
        </w:rPr>
        <w:t xml:space="preserve">of USS2 </w:t>
      </w:r>
      <w:r w:rsidR="00D56D09">
        <w:rPr>
          <w:rFonts w:eastAsiaTheme="minorEastAsia"/>
        </w:rPr>
        <w:t>is dropped</w:t>
      </w:r>
      <w:r w:rsidR="004D0B89">
        <w:rPr>
          <w:rFonts w:eastAsiaTheme="minorEastAsia"/>
        </w:rPr>
        <w:t>.</w:t>
      </w:r>
      <w:r w:rsidR="00CF4D5C">
        <w:rPr>
          <w:rFonts w:eastAsiaTheme="minorEastAsia"/>
        </w:rPr>
        <w:t xml:space="preserve"> </w:t>
      </w:r>
      <w:r w:rsidR="009541EE">
        <w:rPr>
          <w:rFonts w:eastAsiaTheme="minorEastAsia"/>
        </w:rPr>
        <w:t xml:space="preserve">According to the above proposed dropping rules, if the same monitoring occasion overlaps a later position of the sliding window, it is also considered to be dropped. </w:t>
      </w:r>
    </w:p>
    <w:p w14:paraId="2D0F8702" w14:textId="477CBB93" w:rsidR="007A166D" w:rsidRDefault="008B6472" w:rsidP="00D7112B">
      <w:pPr>
        <w:pStyle w:val="BodyText"/>
      </w:pPr>
      <w:r w:rsidRPr="008B6472">
        <w:rPr>
          <w:noProof/>
        </w:rPr>
        <w:drawing>
          <wp:inline distT="0" distB="0" distL="0" distR="0" wp14:anchorId="18EF0D01" wp14:editId="5597B2FD">
            <wp:extent cx="6120765" cy="561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561975"/>
                    </a:xfrm>
                    <a:prstGeom prst="rect">
                      <a:avLst/>
                    </a:prstGeom>
                    <a:noFill/>
                    <a:ln>
                      <a:noFill/>
                    </a:ln>
                  </pic:spPr>
                </pic:pic>
              </a:graphicData>
            </a:graphic>
          </wp:inline>
        </w:drawing>
      </w:r>
    </w:p>
    <w:p w14:paraId="3A1FC0AF" w14:textId="779BB901" w:rsidR="007C5C81" w:rsidRDefault="007C5C81" w:rsidP="00D7112B">
      <w:pPr>
        <w:pStyle w:val="BodyText"/>
      </w:pPr>
      <w:r w:rsidRPr="007C5C81">
        <w:rPr>
          <w:noProof/>
        </w:rPr>
        <w:drawing>
          <wp:inline distT="0" distB="0" distL="0" distR="0" wp14:anchorId="65C99264" wp14:editId="4A223BBD">
            <wp:extent cx="6120765" cy="5619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561975"/>
                    </a:xfrm>
                    <a:prstGeom prst="rect">
                      <a:avLst/>
                    </a:prstGeom>
                    <a:noFill/>
                    <a:ln>
                      <a:noFill/>
                    </a:ln>
                  </pic:spPr>
                </pic:pic>
              </a:graphicData>
            </a:graphic>
          </wp:inline>
        </w:drawing>
      </w:r>
    </w:p>
    <w:p w14:paraId="4F855451" w14:textId="77777777" w:rsidR="00415139" w:rsidRDefault="00415139" w:rsidP="00415139">
      <w:pPr>
        <w:pStyle w:val="BodyText"/>
      </w:pPr>
      <w:r w:rsidRPr="004C4EC6">
        <w:rPr>
          <w:noProof/>
        </w:rPr>
        <w:drawing>
          <wp:inline distT="0" distB="0" distL="0" distR="0" wp14:anchorId="490081F0" wp14:editId="3385BE36">
            <wp:extent cx="6120765" cy="6781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678180"/>
                    </a:xfrm>
                    <a:prstGeom prst="rect">
                      <a:avLst/>
                    </a:prstGeom>
                    <a:noFill/>
                    <a:ln>
                      <a:noFill/>
                    </a:ln>
                  </pic:spPr>
                </pic:pic>
              </a:graphicData>
            </a:graphic>
          </wp:inline>
        </w:drawing>
      </w:r>
    </w:p>
    <w:p w14:paraId="1481E456" w14:textId="77777777" w:rsidR="003D1D40" w:rsidRDefault="003D1D40" w:rsidP="00D7112B">
      <w:pPr>
        <w:pStyle w:val="BodyText"/>
      </w:pPr>
      <w:r w:rsidRPr="003E7A8E">
        <w:rPr>
          <w:noProof/>
        </w:rPr>
        <w:drawing>
          <wp:inline distT="0" distB="0" distL="0" distR="0" wp14:anchorId="15A306F7" wp14:editId="20EEAC3D">
            <wp:extent cx="6120765" cy="6781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678180"/>
                    </a:xfrm>
                    <a:prstGeom prst="rect">
                      <a:avLst/>
                    </a:prstGeom>
                    <a:noFill/>
                    <a:ln>
                      <a:noFill/>
                    </a:ln>
                  </pic:spPr>
                </pic:pic>
              </a:graphicData>
            </a:graphic>
          </wp:inline>
        </w:drawing>
      </w:r>
    </w:p>
    <w:p w14:paraId="44A3BED2" w14:textId="4617EC2A" w:rsidR="00F3069B" w:rsidRPr="00AC3542" w:rsidRDefault="00F3069B" w:rsidP="00F3069B">
      <w:pPr>
        <w:pStyle w:val="TF"/>
        <w:jc w:val="both"/>
        <w:rPr>
          <w:lang w:val="en-US"/>
        </w:rPr>
      </w:pPr>
      <w:bookmarkStart w:id="27" w:name="_Ref67924947"/>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711D1F">
        <w:rPr>
          <w:noProof/>
          <w:lang w:val="en-US"/>
        </w:rPr>
        <w:t>12</w:t>
      </w:r>
      <w:r w:rsidRPr="009B6F32">
        <w:rPr>
          <w:lang w:val="en-US"/>
        </w:rPr>
        <w:fldChar w:fldCharType="end"/>
      </w:r>
      <w:bookmarkEnd w:id="27"/>
      <w:r w:rsidRPr="009B6F32">
        <w:rPr>
          <w:lang w:val="en-US"/>
        </w:rPr>
        <w:t xml:space="preserve">: </w:t>
      </w:r>
      <w:r w:rsidR="00670C1F">
        <w:rPr>
          <w:lang w:val="en-US"/>
        </w:rPr>
        <w:t xml:space="preserve">N=4 </w:t>
      </w:r>
      <w:r>
        <w:rPr>
          <w:lang w:val="en-US"/>
        </w:rPr>
        <w:t xml:space="preserve">PDCCH dropping examples for </w:t>
      </w:r>
      <w:r w:rsidR="00A1517E">
        <w:t>UE is capable of support</w:t>
      </w:r>
      <w:r w:rsidR="00A1517E">
        <w:rPr>
          <w:lang w:val="en-US"/>
        </w:rPr>
        <w:t>ing</w:t>
      </w:r>
      <w:r w:rsidR="00A1517E">
        <w:t xml:space="preserve"> </w:t>
      </w:r>
      <m:oMath>
        <m:sSup>
          <m:sSupPr>
            <m:ctrlPr>
              <w:rPr>
                <w:rFonts w:ascii="Cambria Math" w:hAnsi="Cambria Math"/>
                <w:b w:val="0"/>
                <w:bCs/>
                <w:i/>
              </w:rPr>
            </m:ctrlPr>
          </m:sSupPr>
          <m:e>
            <m:r>
              <m:rPr>
                <m:sty m:val="bi"/>
              </m:rPr>
              <w:rPr>
                <w:rFonts w:ascii="Cambria Math" w:hAnsi="Cambria Math"/>
              </w:rPr>
              <m:t>M</m:t>
            </m:r>
          </m:e>
          <m:sup>
            <m:r>
              <m:rPr>
                <m:sty m:val="bi"/>
              </m:rPr>
              <w:rPr>
                <w:rFonts w:ascii="Cambria Math" w:hAnsi="Cambria Math"/>
              </w:rPr>
              <m:t>4</m:t>
            </m:r>
            <m:r>
              <m:rPr>
                <m:nor/>
              </m:rPr>
              <w:rPr>
                <w:rFonts w:ascii="Cambria Math" w:hAnsi="Cambria Math"/>
                <w:b w:val="0"/>
                <w:bCs/>
              </w:rPr>
              <m:t>-slot</m:t>
            </m:r>
          </m:sup>
        </m:sSup>
        <m:r>
          <m:rPr>
            <m:sty m:val="bi"/>
          </m:rPr>
          <w:rPr>
            <w:rFonts w:ascii="Cambria Math" w:hAnsi="Cambria Math"/>
          </w:rPr>
          <m:t>=2</m:t>
        </m:r>
        <m:r>
          <m:rPr>
            <m:sty m:val="bi"/>
          </m:rPr>
          <w:rPr>
            <w:rFonts w:ascii="Cambria Math" w:hAnsi="Cambria Math"/>
          </w:rPr>
          <m:t>C</m:t>
        </m:r>
      </m:oMath>
      <w:r w:rsidR="00A1517E">
        <w:rPr>
          <w:rFonts w:eastAsiaTheme="minorEastAsia"/>
        </w:rPr>
        <w:t xml:space="preserve">, where each CSS (periodicity of 16 slots) or USS1 (periodicity of </w:t>
      </w:r>
      <w:r w:rsidR="00DA3A5E">
        <w:rPr>
          <w:rFonts w:eastAsiaTheme="minorEastAsia"/>
          <w:lang w:val="en-US"/>
        </w:rPr>
        <w:t>4</w:t>
      </w:r>
      <w:r w:rsidR="00A1517E">
        <w:rPr>
          <w:rFonts w:eastAsiaTheme="minorEastAsia"/>
        </w:rPr>
        <w:t xml:space="preserve"> slot</w:t>
      </w:r>
      <w:r w:rsidR="00DA3A5E">
        <w:rPr>
          <w:rFonts w:eastAsiaTheme="minorEastAsia"/>
          <w:lang w:val="en-US"/>
        </w:rPr>
        <w:t>s</w:t>
      </w:r>
      <w:r w:rsidR="00A1517E">
        <w:rPr>
          <w:rFonts w:eastAsiaTheme="minorEastAsia"/>
        </w:rPr>
        <w:t xml:space="preserve">) monitoring occasion requires PDCCH processing load of </w:t>
      </w:r>
      <m:oMath>
        <m:r>
          <m:rPr>
            <m:sty m:val="bi"/>
          </m:rPr>
          <w:rPr>
            <w:rFonts w:ascii="Cambria Math" w:eastAsiaTheme="minorEastAsia" w:hAnsi="Cambria Math"/>
          </w:rPr>
          <m:t>C</m:t>
        </m:r>
      </m:oMath>
      <w:r w:rsidR="00A1517E">
        <w:rPr>
          <w:rFonts w:eastAsiaTheme="minorEastAsia"/>
        </w:rPr>
        <w:t>.</w:t>
      </w:r>
    </w:p>
    <w:p w14:paraId="197BF18E" w14:textId="33698484" w:rsidR="00104B53" w:rsidRDefault="00104B53" w:rsidP="00D7112B">
      <w:pPr>
        <w:pStyle w:val="BodyText"/>
      </w:pPr>
      <w:r>
        <w:t xml:space="preserve">In the next </w:t>
      </w:r>
      <w:r w:rsidR="004527D3">
        <w:t xml:space="preserve">two </w:t>
      </w:r>
      <w:r>
        <w:t>example</w:t>
      </w:r>
      <w:r w:rsidR="00E77D90">
        <w:t>s</w:t>
      </w:r>
      <w:r w:rsidR="00EB4817">
        <w:t xml:space="preserve"> illustrated in </w:t>
      </w:r>
      <w:r w:rsidR="00EB4817">
        <w:fldChar w:fldCharType="begin"/>
      </w:r>
      <w:r w:rsidR="00EB4817">
        <w:instrText xml:space="preserve"> REF _Ref67924974 \h </w:instrText>
      </w:r>
      <w:r w:rsidR="00EB4817">
        <w:fldChar w:fldCharType="separate"/>
      </w:r>
      <w:r w:rsidR="00D90AF8" w:rsidRPr="009B6F32">
        <w:t xml:space="preserve">Figure </w:t>
      </w:r>
      <w:r w:rsidR="00D90AF8">
        <w:rPr>
          <w:noProof/>
        </w:rPr>
        <w:t>13</w:t>
      </w:r>
      <w:r w:rsidR="00EB4817">
        <w:fldChar w:fldCharType="end"/>
      </w:r>
      <w:r>
        <w:t xml:space="preserve">, the UE is capable of support </w:t>
      </w:r>
      <m:oMath>
        <m:sSup>
          <m:sSupPr>
            <m:ctrlPr>
              <w:rPr>
                <w:rFonts w:ascii="Cambria Math" w:hAnsi="Cambria Math"/>
                <w:i/>
              </w:rPr>
            </m:ctrlPr>
          </m:sSupPr>
          <m:e>
            <m:r>
              <w:rPr>
                <w:rFonts w:ascii="Cambria Math" w:hAnsi="Cambria Math"/>
              </w:rPr>
              <m:t>M</m:t>
            </m:r>
          </m:e>
          <m:sup>
            <m:r>
              <w:rPr>
                <w:rFonts w:ascii="Cambria Math" w:hAnsi="Cambria Math"/>
              </w:rPr>
              <m:t>4</m:t>
            </m:r>
            <m:r>
              <m:rPr>
                <m:nor/>
              </m:rPr>
              <w:rPr>
                <w:rFonts w:ascii="Cambria Math" w:hAnsi="Cambria Math"/>
              </w:rPr>
              <m:t>-slot</m:t>
            </m:r>
          </m:sup>
        </m:sSup>
        <m:r>
          <w:rPr>
            <w:rFonts w:ascii="Cambria Math" w:hAnsi="Cambria Math"/>
          </w:rPr>
          <m:t>=4C</m:t>
        </m:r>
      </m:oMath>
      <w:r>
        <w:rPr>
          <w:rFonts w:eastAsiaTheme="minorEastAsia"/>
        </w:rPr>
        <w:t xml:space="preserve">, where each CSS (periodicity of 16 slots) </w:t>
      </w:r>
      <w:r w:rsidR="006E3515">
        <w:rPr>
          <w:rFonts w:eastAsiaTheme="minorEastAsia"/>
        </w:rPr>
        <w:t xml:space="preserve">monitoring occasion requires PDCCH processing load of </w:t>
      </w:r>
      <m:oMath>
        <m:r>
          <w:rPr>
            <w:rFonts w:ascii="Cambria Math" w:eastAsiaTheme="minorEastAsia" w:hAnsi="Cambria Math"/>
          </w:rPr>
          <m:t>2C</m:t>
        </m:r>
      </m:oMath>
      <w:r w:rsidR="006E3515">
        <w:rPr>
          <w:rFonts w:eastAsiaTheme="minorEastAsia"/>
        </w:rPr>
        <w:t xml:space="preserve"> and</w:t>
      </w:r>
      <w:r>
        <w:rPr>
          <w:rFonts w:eastAsiaTheme="minorEastAsia"/>
        </w:rPr>
        <w:t xml:space="preserve"> </w:t>
      </w:r>
      <w:r w:rsidR="006E3515">
        <w:rPr>
          <w:rFonts w:eastAsiaTheme="minorEastAsia"/>
        </w:rPr>
        <w:t xml:space="preserve">each of </w:t>
      </w:r>
      <w:r w:rsidR="00586C42">
        <w:rPr>
          <w:rFonts w:eastAsiaTheme="minorEastAsia"/>
        </w:rPr>
        <w:t xml:space="preserve">the </w:t>
      </w:r>
      <w:r>
        <w:rPr>
          <w:rFonts w:eastAsiaTheme="minorEastAsia"/>
        </w:rPr>
        <w:t xml:space="preserve">USS (periodicity of </w:t>
      </w:r>
      <w:r w:rsidR="00DA3A5E">
        <w:rPr>
          <w:rFonts w:eastAsiaTheme="minorEastAsia"/>
        </w:rPr>
        <w:t>4</w:t>
      </w:r>
      <w:r>
        <w:rPr>
          <w:rFonts w:eastAsiaTheme="minorEastAsia"/>
        </w:rPr>
        <w:t xml:space="preserve"> slot) monitoring occasion requires PDCCH processing load of </w:t>
      </w:r>
      <m:oMath>
        <m:r>
          <w:rPr>
            <w:rFonts w:ascii="Cambria Math" w:eastAsiaTheme="minorEastAsia" w:hAnsi="Cambria Math"/>
          </w:rPr>
          <m:t>C</m:t>
        </m:r>
      </m:oMath>
      <w:r>
        <w:rPr>
          <w:rFonts w:eastAsiaTheme="minorEastAsia"/>
        </w:rPr>
        <w:t>.</w:t>
      </w:r>
      <w:r w:rsidR="002F491D">
        <w:rPr>
          <w:rFonts w:eastAsiaTheme="minorEastAsia"/>
        </w:rPr>
        <w:t xml:space="preserve"> USS1 </w:t>
      </w:r>
      <w:r w:rsidR="00154667">
        <w:rPr>
          <w:rFonts w:eastAsiaTheme="minorEastAsia"/>
        </w:rPr>
        <w:t xml:space="preserve">and USS2 are </w:t>
      </w:r>
      <w:r w:rsidR="002F491D">
        <w:rPr>
          <w:rFonts w:eastAsiaTheme="minorEastAsia"/>
        </w:rPr>
        <w:t>first checked</w:t>
      </w:r>
      <w:r w:rsidR="00154667">
        <w:rPr>
          <w:rFonts w:eastAsiaTheme="minorEastAsia"/>
        </w:rPr>
        <w:t xml:space="preserve"> and no dropping is required</w:t>
      </w:r>
      <w:r w:rsidR="002F491D">
        <w:rPr>
          <w:rFonts w:eastAsiaTheme="minorEastAsia"/>
        </w:rPr>
        <w:t xml:space="preserve">. </w:t>
      </w:r>
      <w:r w:rsidR="00F407E8">
        <w:rPr>
          <w:rFonts w:eastAsiaTheme="minorEastAsia"/>
        </w:rPr>
        <w:t>USS3 is checked next</w:t>
      </w:r>
      <w:r w:rsidR="007A278A">
        <w:rPr>
          <w:rFonts w:eastAsiaTheme="minorEastAsia"/>
        </w:rPr>
        <w:t xml:space="preserve"> and, w</w:t>
      </w:r>
      <w:r w:rsidR="002F491D">
        <w:rPr>
          <w:rFonts w:eastAsiaTheme="minorEastAsia"/>
        </w:rPr>
        <w:t>henever the PDCCH processing load exceeds the UE capability in a first sliding window (highlighted in the illustration), the monitoring occasion</w:t>
      </w:r>
      <w:r w:rsidR="000219BC">
        <w:rPr>
          <w:rFonts w:eastAsiaTheme="minorEastAsia"/>
        </w:rPr>
        <w:t>s</w:t>
      </w:r>
      <w:r w:rsidR="002F491D">
        <w:rPr>
          <w:rFonts w:eastAsiaTheme="minorEastAsia"/>
        </w:rPr>
        <w:t xml:space="preserve"> of USS</w:t>
      </w:r>
      <w:r w:rsidR="007A278A">
        <w:rPr>
          <w:rFonts w:eastAsiaTheme="minorEastAsia"/>
        </w:rPr>
        <w:t>3</w:t>
      </w:r>
      <w:r w:rsidR="002F491D">
        <w:rPr>
          <w:rFonts w:eastAsiaTheme="minorEastAsia"/>
        </w:rPr>
        <w:t xml:space="preserve"> </w:t>
      </w:r>
      <w:r w:rsidR="00372B66" w:rsidRPr="000A3142">
        <w:rPr>
          <w:rFonts w:eastAsiaTheme="minorEastAsia"/>
        </w:rPr>
        <w:t>and USS</w:t>
      </w:r>
      <w:r w:rsidR="007A278A" w:rsidRPr="000A3142">
        <w:rPr>
          <w:rFonts w:eastAsiaTheme="minorEastAsia"/>
        </w:rPr>
        <w:t>4</w:t>
      </w:r>
      <w:r w:rsidR="00372B66" w:rsidRPr="000A3142">
        <w:rPr>
          <w:rFonts w:eastAsiaTheme="minorEastAsia"/>
        </w:rPr>
        <w:t xml:space="preserve"> within that sliding window </w:t>
      </w:r>
      <w:r w:rsidR="000219BC">
        <w:rPr>
          <w:rFonts w:eastAsiaTheme="minorEastAsia"/>
        </w:rPr>
        <w:t>are</w:t>
      </w:r>
      <w:r w:rsidR="002F491D" w:rsidRPr="000A3142">
        <w:rPr>
          <w:rFonts w:eastAsiaTheme="minorEastAsia"/>
        </w:rPr>
        <w:t xml:space="preserve"> dropped</w:t>
      </w:r>
      <w:r w:rsidR="002F491D">
        <w:rPr>
          <w:rFonts w:eastAsiaTheme="minorEastAsia"/>
        </w:rPr>
        <w:t>.</w:t>
      </w:r>
      <w:r w:rsidR="007A278A">
        <w:rPr>
          <w:rFonts w:eastAsiaTheme="minorEastAsia"/>
        </w:rPr>
        <w:t xml:space="preserve"> Finally, USS4 is checked</w:t>
      </w:r>
      <w:r w:rsidR="00A05DE6">
        <w:rPr>
          <w:rFonts w:eastAsiaTheme="minorEastAsia"/>
        </w:rPr>
        <w:t xml:space="preserve"> and </w:t>
      </w:r>
      <w:r w:rsidR="000A3142">
        <w:rPr>
          <w:rFonts w:eastAsiaTheme="minorEastAsia"/>
        </w:rPr>
        <w:t>additional</w:t>
      </w:r>
      <w:r w:rsidR="00A05DE6">
        <w:rPr>
          <w:rFonts w:eastAsiaTheme="minorEastAsia"/>
        </w:rPr>
        <w:t xml:space="preserve"> monitoring occasions are dropped when the PDCCH processing load exceeds the UE capability.</w:t>
      </w:r>
      <w:r w:rsidR="009541EE" w:rsidRPr="009541EE">
        <w:rPr>
          <w:rFonts w:eastAsiaTheme="minorEastAsia"/>
        </w:rPr>
        <w:t xml:space="preserve"> </w:t>
      </w:r>
      <w:r w:rsidR="009541EE">
        <w:rPr>
          <w:rFonts w:eastAsiaTheme="minorEastAsia"/>
        </w:rPr>
        <w:t>Again, according to the above proposed dropping rules, if the same monitoring occasion overlaps a later position of the sliding window, it is also considered to be dropped.</w:t>
      </w:r>
    </w:p>
    <w:p w14:paraId="1213BEBC" w14:textId="7BB436B7" w:rsidR="00C9107D" w:rsidRDefault="004E5118" w:rsidP="00D7112B">
      <w:pPr>
        <w:pStyle w:val="BodyText"/>
      </w:pPr>
      <w:r w:rsidRPr="004E5118">
        <w:rPr>
          <w:noProof/>
        </w:rPr>
        <w:drawing>
          <wp:inline distT="0" distB="0" distL="0" distR="0" wp14:anchorId="1934D748" wp14:editId="218AA3BE">
            <wp:extent cx="6120765" cy="101155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1011555"/>
                    </a:xfrm>
                    <a:prstGeom prst="rect">
                      <a:avLst/>
                    </a:prstGeom>
                    <a:noFill/>
                    <a:ln>
                      <a:noFill/>
                    </a:ln>
                  </pic:spPr>
                </pic:pic>
              </a:graphicData>
            </a:graphic>
          </wp:inline>
        </w:drawing>
      </w:r>
    </w:p>
    <w:p w14:paraId="3599810B" w14:textId="01381138" w:rsidR="00B33B7E" w:rsidRDefault="00976EAB" w:rsidP="00D7112B">
      <w:pPr>
        <w:pStyle w:val="BodyText"/>
      </w:pPr>
      <w:r w:rsidRPr="00976EAB">
        <w:rPr>
          <w:noProof/>
        </w:rPr>
        <w:drawing>
          <wp:inline distT="0" distB="0" distL="0" distR="0" wp14:anchorId="12AEEC4A" wp14:editId="6D72039A">
            <wp:extent cx="6120765" cy="101155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1011555"/>
                    </a:xfrm>
                    <a:prstGeom prst="rect">
                      <a:avLst/>
                    </a:prstGeom>
                    <a:noFill/>
                    <a:ln>
                      <a:noFill/>
                    </a:ln>
                  </pic:spPr>
                </pic:pic>
              </a:graphicData>
            </a:graphic>
          </wp:inline>
        </w:drawing>
      </w:r>
    </w:p>
    <w:p w14:paraId="7B7BBB01" w14:textId="2FD808F2" w:rsidR="00DA3A5E" w:rsidRPr="00AC3542" w:rsidRDefault="00DA3A5E" w:rsidP="00DA3A5E">
      <w:pPr>
        <w:pStyle w:val="TF"/>
        <w:jc w:val="both"/>
        <w:rPr>
          <w:lang w:val="en-US"/>
        </w:rPr>
      </w:pPr>
      <w:bookmarkStart w:id="28" w:name="_Ref67924974"/>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D90AF8">
        <w:rPr>
          <w:noProof/>
          <w:lang w:val="en-US"/>
        </w:rPr>
        <w:t>13</w:t>
      </w:r>
      <w:r w:rsidRPr="009B6F32">
        <w:rPr>
          <w:lang w:val="en-US"/>
        </w:rPr>
        <w:fldChar w:fldCharType="end"/>
      </w:r>
      <w:bookmarkEnd w:id="28"/>
      <w:r w:rsidRPr="009B6F32">
        <w:rPr>
          <w:lang w:val="en-US"/>
        </w:rPr>
        <w:t xml:space="preserve">: </w:t>
      </w:r>
      <w:r>
        <w:rPr>
          <w:lang w:val="en-US"/>
        </w:rPr>
        <w:t xml:space="preserve">N=4 PDCCH dropping example for </w:t>
      </w:r>
      <w:r>
        <w:t>UE is capable of support</w:t>
      </w:r>
      <w:r>
        <w:rPr>
          <w:lang w:val="en-US"/>
        </w:rPr>
        <w:t>ing</w:t>
      </w:r>
      <w:r>
        <w:t xml:space="preserve"> </w:t>
      </w:r>
      <m:oMath>
        <m:sSup>
          <m:sSupPr>
            <m:ctrlPr>
              <w:rPr>
                <w:rFonts w:ascii="Cambria Math" w:hAnsi="Cambria Math"/>
                <w:b w:val="0"/>
                <w:bCs/>
                <w:i/>
              </w:rPr>
            </m:ctrlPr>
          </m:sSupPr>
          <m:e>
            <m:r>
              <m:rPr>
                <m:sty m:val="bi"/>
              </m:rPr>
              <w:rPr>
                <w:rFonts w:ascii="Cambria Math" w:hAnsi="Cambria Math"/>
              </w:rPr>
              <m:t>M</m:t>
            </m:r>
          </m:e>
          <m:sup>
            <m:r>
              <m:rPr>
                <m:sty m:val="bi"/>
              </m:rPr>
              <w:rPr>
                <w:rFonts w:ascii="Cambria Math" w:hAnsi="Cambria Math"/>
              </w:rPr>
              <m:t>4</m:t>
            </m:r>
            <m:r>
              <m:rPr>
                <m:nor/>
              </m:rPr>
              <w:rPr>
                <w:rFonts w:ascii="Cambria Math" w:hAnsi="Cambria Math"/>
                <w:b w:val="0"/>
                <w:bCs/>
              </w:rPr>
              <m:t>-slot</m:t>
            </m:r>
          </m:sup>
        </m:sSup>
        <m:r>
          <m:rPr>
            <m:sty m:val="bi"/>
          </m:rPr>
          <w:rPr>
            <w:rFonts w:ascii="Cambria Math" w:hAnsi="Cambria Math"/>
          </w:rPr>
          <m:t>=4</m:t>
        </m:r>
        <m:r>
          <m:rPr>
            <m:sty m:val="bi"/>
          </m:rPr>
          <w:rPr>
            <w:rFonts w:ascii="Cambria Math" w:hAnsi="Cambria Math"/>
          </w:rPr>
          <m:t>C</m:t>
        </m:r>
      </m:oMath>
      <w:r>
        <w:rPr>
          <w:rFonts w:eastAsiaTheme="minorEastAsia"/>
        </w:rPr>
        <w:t xml:space="preserve">, where each CSS (periodicity of 16 slots) monitoring occasion requires PDCCH processing load of </w:t>
      </w:r>
      <m:oMath>
        <m:r>
          <m:rPr>
            <m:sty m:val="bi"/>
          </m:rPr>
          <w:rPr>
            <w:rFonts w:ascii="Cambria Math" w:eastAsiaTheme="minorEastAsia" w:hAnsi="Cambria Math"/>
          </w:rPr>
          <m:t>2</m:t>
        </m:r>
        <m:r>
          <m:rPr>
            <m:sty m:val="bi"/>
          </m:rPr>
          <w:rPr>
            <w:rFonts w:ascii="Cambria Math" w:eastAsiaTheme="minorEastAsia" w:hAnsi="Cambria Math"/>
          </w:rPr>
          <m:t>C</m:t>
        </m:r>
      </m:oMath>
      <w:r>
        <w:rPr>
          <w:rFonts w:eastAsiaTheme="minorEastAsia"/>
        </w:rPr>
        <w:t xml:space="preserve"> and each of the USS (periodicity of 4 slot) monitoring occasion requires PDCCH processing load of </w:t>
      </w:r>
      <m:oMath>
        <m:r>
          <m:rPr>
            <m:sty m:val="bi"/>
          </m:rPr>
          <w:rPr>
            <w:rFonts w:ascii="Cambria Math" w:eastAsiaTheme="minorEastAsia" w:hAnsi="Cambria Math"/>
          </w:rPr>
          <m:t>C</m:t>
        </m:r>
      </m:oMath>
      <w:r>
        <w:rPr>
          <w:rFonts w:eastAsiaTheme="minorEastAsia"/>
        </w:rPr>
        <w:t>.</w:t>
      </w:r>
    </w:p>
    <w:p w14:paraId="6F2EEDA5" w14:textId="77777777" w:rsidR="00A21A52" w:rsidRDefault="00A21A52" w:rsidP="00D7112B">
      <w:pPr>
        <w:pStyle w:val="BodyText"/>
      </w:pPr>
    </w:p>
    <w:p w14:paraId="4C1EF451" w14:textId="77777777" w:rsidR="009541EE" w:rsidRDefault="004A0D58" w:rsidP="00BD4B24">
      <w:pPr>
        <w:pStyle w:val="Observation"/>
      </w:pPr>
      <w:bookmarkStart w:id="29" w:name="_Toc68610478"/>
      <w:r>
        <w:t xml:space="preserve">For Rel-17 UE </w:t>
      </w:r>
      <w:r w:rsidR="008129F2">
        <w:t xml:space="preserve">with </w:t>
      </w:r>
      <w:r>
        <w:t>multi-slot PDCCH processing capabilities</w:t>
      </w:r>
      <w:r w:rsidR="008129F2">
        <w:t xml:space="preserve">, overbooking and PDCCH dropping rules </w:t>
      </w:r>
      <w:proofErr w:type="gramStart"/>
      <w:r w:rsidR="008129F2">
        <w:t>similar to</w:t>
      </w:r>
      <w:proofErr w:type="gramEnd"/>
      <w:r w:rsidR="008129F2">
        <w:t xml:space="preserve"> those for Rel-15 can be considered</w:t>
      </w:r>
      <w:r w:rsidR="007E2A24">
        <w:t>:</w:t>
      </w:r>
      <w:bookmarkEnd w:id="29"/>
    </w:p>
    <w:p w14:paraId="52C02429" w14:textId="0319FD49" w:rsidR="009541EE" w:rsidRDefault="001D591C" w:rsidP="00CE0733">
      <w:pPr>
        <w:pStyle w:val="Observation"/>
        <w:numPr>
          <w:ilvl w:val="1"/>
          <w:numId w:val="48"/>
        </w:numPr>
      </w:pPr>
      <w:bookmarkStart w:id="30" w:name="_Toc68610479"/>
      <w:r>
        <w:t>Overbooking is not allowed for CSS.</w:t>
      </w:r>
      <w:bookmarkEnd w:id="30"/>
    </w:p>
    <w:p w14:paraId="71FCEA6C" w14:textId="17167CAA" w:rsidR="009541EE" w:rsidRDefault="001D591C" w:rsidP="00CE0733">
      <w:pPr>
        <w:pStyle w:val="Observation"/>
        <w:numPr>
          <w:ilvl w:val="1"/>
          <w:numId w:val="48"/>
        </w:numPr>
      </w:pPr>
      <w:bookmarkStart w:id="31" w:name="_Toc68610480"/>
      <w:r>
        <w:t xml:space="preserve">Overbooking is not allowed for </w:t>
      </w:r>
      <w:proofErr w:type="spellStart"/>
      <w:r>
        <w:t>SCells</w:t>
      </w:r>
      <w:proofErr w:type="spellEnd"/>
      <w:r>
        <w:t>.</w:t>
      </w:r>
      <w:bookmarkEnd w:id="31"/>
    </w:p>
    <w:p w14:paraId="2F3E535F" w14:textId="466860AD" w:rsidR="009541EE" w:rsidRDefault="001D591C" w:rsidP="00CE0733">
      <w:pPr>
        <w:pStyle w:val="Observation"/>
        <w:numPr>
          <w:ilvl w:val="1"/>
          <w:numId w:val="48"/>
        </w:numPr>
      </w:pPr>
      <w:bookmarkStart w:id="32" w:name="_Toc68610481"/>
      <w:r>
        <w:t xml:space="preserve">For the </w:t>
      </w:r>
      <w:proofErr w:type="spellStart"/>
      <w:r>
        <w:t>PCell</w:t>
      </w:r>
      <w:proofErr w:type="spellEnd"/>
      <w:r>
        <w:t xml:space="preserve">, </w:t>
      </w:r>
      <w:r w:rsidR="009541EE">
        <w:t>a window of N slots sliding forward in time is checked one sliding position at a time (indexed by the slot number of its first slot)</w:t>
      </w:r>
      <w:r>
        <w:t>.</w:t>
      </w:r>
      <w:bookmarkEnd w:id="32"/>
      <w:r w:rsidR="00C84818">
        <w:t xml:space="preserve"> </w:t>
      </w:r>
    </w:p>
    <w:p w14:paraId="131F5DA9" w14:textId="2E88F5BA" w:rsidR="009541EE" w:rsidRDefault="001D591C" w:rsidP="00CE0733">
      <w:pPr>
        <w:pStyle w:val="Observation"/>
        <w:numPr>
          <w:ilvl w:val="2"/>
          <w:numId w:val="48"/>
        </w:numPr>
      </w:pPr>
      <w:bookmarkStart w:id="33" w:name="_Toc68610482"/>
      <w:r>
        <w:t>For a sliding window</w:t>
      </w:r>
      <w:r w:rsidR="009541EE">
        <w:t xml:space="preserve"> at a given position</w:t>
      </w:r>
      <w:r>
        <w:t>, the USS are considered one at a time based on their ID.</w:t>
      </w:r>
      <w:bookmarkEnd w:id="33"/>
      <w:r w:rsidR="00C84818">
        <w:t xml:space="preserve"> </w:t>
      </w:r>
    </w:p>
    <w:p w14:paraId="65787920" w14:textId="77777777" w:rsidR="008510A0" w:rsidRPr="00CE0733" w:rsidRDefault="008510A0" w:rsidP="00CE0733">
      <w:pPr>
        <w:pStyle w:val="BodyText"/>
        <w:numPr>
          <w:ilvl w:val="3"/>
          <w:numId w:val="48"/>
        </w:numPr>
        <w:rPr>
          <w:b/>
          <w:bCs/>
        </w:rPr>
      </w:pPr>
      <w:r w:rsidRPr="00CE0733">
        <w:rPr>
          <w:b/>
          <w:bCs/>
        </w:rPr>
        <w:t>If the UE processing capabilities are exceeded in the window, monitoring occasions of the USS are dropped from the window. All subsequent USS are also dropped from the window.</w:t>
      </w:r>
    </w:p>
    <w:p w14:paraId="712ED678" w14:textId="7F9BE988" w:rsidR="00BD4B24" w:rsidRDefault="009541EE" w:rsidP="00CE0733">
      <w:pPr>
        <w:pStyle w:val="Observation"/>
        <w:numPr>
          <w:ilvl w:val="2"/>
          <w:numId w:val="48"/>
        </w:numPr>
      </w:pPr>
      <w:bookmarkStart w:id="34" w:name="_Toc68610483"/>
      <w:r>
        <w:t>Furthermore, if a monitoring occasion in a later position of the sliding window overlaps the same dropped monitoring occasion from an earlier position of the window, the monitoring occasion remains as dropped.</w:t>
      </w:r>
      <w:bookmarkEnd w:id="34"/>
    </w:p>
    <w:p w14:paraId="1BDE9223" w14:textId="77777777" w:rsidR="00A119A4" w:rsidRDefault="00A119A4" w:rsidP="00D7112B">
      <w:pPr>
        <w:pStyle w:val="BodyText"/>
      </w:pPr>
    </w:p>
    <w:p w14:paraId="3964E455" w14:textId="4461DC24" w:rsidR="00B37F9E" w:rsidRDefault="007F0687" w:rsidP="00A27B63">
      <w:pPr>
        <w:pStyle w:val="Heading2"/>
      </w:pPr>
      <w:bookmarkStart w:id="35" w:name="_Toc67653044"/>
      <w:r>
        <w:t>2.</w:t>
      </w:r>
      <w:r w:rsidR="00E9206F">
        <w:t>3</w:t>
      </w:r>
      <w:r w:rsidRPr="00C81EDA">
        <w:tab/>
      </w:r>
      <w:r w:rsidR="00B37F9E">
        <w:t>Capability scaling for multi-slot PDCCH monitoring</w:t>
      </w:r>
      <w:bookmarkEnd w:id="35"/>
    </w:p>
    <w:p w14:paraId="19CFD7A3" w14:textId="64E17FEF" w:rsidR="008B04EA" w:rsidRDefault="008B04EA" w:rsidP="00591A94">
      <w:pPr>
        <w:pStyle w:val="BodyText"/>
      </w:pPr>
      <w:r>
        <w:t xml:space="preserve">In this section, we first provide estimate of UE per-slot PDCCH processing capabilities for 480 and 960 kHz SCS. We then discuss the PDCCH processing capabilities for multiple </w:t>
      </w:r>
      <w:r w:rsidR="00D628DA">
        <w:t>slots.</w:t>
      </w:r>
      <w:r w:rsidR="00AA628A">
        <w:t xml:space="preserve"> The discussion is applicable to all three alternatives for defining UE multi-slot PDCCH processing capabilities discussed in Section 2.2.</w:t>
      </w:r>
    </w:p>
    <w:p w14:paraId="24B4F0DE" w14:textId="227BBE88" w:rsidR="00E9206F" w:rsidRDefault="00E9206F" w:rsidP="00E9206F">
      <w:pPr>
        <w:pStyle w:val="Heading3"/>
      </w:pPr>
      <w:bookmarkStart w:id="36" w:name="_Toc67653045"/>
      <w:r>
        <w:t>2.3.1</w:t>
      </w:r>
      <w:r>
        <w:tab/>
        <w:t>Per-slot PDCCH processing capabilities for 480/960 kHz SCS</w:t>
      </w:r>
      <w:bookmarkEnd w:id="36"/>
    </w:p>
    <w:p w14:paraId="4C8944AC" w14:textId="77777777" w:rsidR="00E9206F" w:rsidRDefault="00E9206F" w:rsidP="00E9206F">
      <w:pPr>
        <w:pStyle w:val="BodyText"/>
      </w:pPr>
      <w:r w:rsidRPr="008247F0">
        <w:t xml:space="preserve">With short OFDM symbol durations associated with large SCSs, the amount of time for UE and </w:t>
      </w:r>
      <w:proofErr w:type="spellStart"/>
      <w:r w:rsidRPr="008247F0">
        <w:t>gNB</w:t>
      </w:r>
      <w:proofErr w:type="spellEnd"/>
      <w:r w:rsidRPr="008247F0">
        <w:t xml:space="preserve"> to perform several critical operations can become quite challenging.</w:t>
      </w:r>
      <w:r>
        <w:t xml:space="preserve"> Consider the UE PDCCH processing capabilities specified in Section 10.1 of </w:t>
      </w:r>
      <w:r w:rsidRPr="005B435E">
        <w:t>TS 38.213</w:t>
      </w:r>
      <w:r>
        <w:t xml:space="preserve"> in terms of number of </w:t>
      </w:r>
      <w:proofErr w:type="gramStart"/>
      <w:r>
        <w:t>blind</w:t>
      </w:r>
      <w:proofErr w:type="gramEnd"/>
      <w:r>
        <w:t xml:space="preserve"> decodes in Table 10.1-2 and number of CCEs in Table 10.1-3. For both sets of PDCCH processing capabilities, the quantities </w:t>
      </w:r>
      <w:r w:rsidRPr="00085F74">
        <w:rPr>
          <w:u w:val="single"/>
        </w:rPr>
        <w:t xml:space="preserve">shrink </w:t>
      </w:r>
      <w:r w:rsidRPr="00FC21A3">
        <w:rPr>
          <w:u w:val="single"/>
        </w:rPr>
        <w:t>exponentially</w:t>
      </w:r>
      <w:r>
        <w:t xml:space="preserve"> with SCS (value of </w:t>
      </w:r>
      <w:r>
        <w:rPr>
          <w:rFonts w:cs="Arial"/>
        </w:rPr>
        <w:t>µ</w:t>
      </w:r>
      <w:r>
        <w:t xml:space="preserve">). </w:t>
      </w:r>
    </w:p>
    <w:p w14:paraId="491C5406" w14:textId="77777777" w:rsidR="00E9206F" w:rsidRPr="00B916EC" w:rsidRDefault="00E9206F" w:rsidP="00E9206F">
      <w:pPr>
        <w:pStyle w:val="TH"/>
        <w:jc w:val="both"/>
      </w:pPr>
      <w:r>
        <w:t>Table 10.1-2</w:t>
      </w:r>
      <w:r w:rsidRPr="00B916EC">
        <w:t xml:space="preserve">: </w:t>
      </w:r>
      <w:r>
        <w:t xml:space="preserve">Maximum number </w:t>
      </w:r>
      <w:r>
        <w:rPr>
          <w:noProof/>
          <w:position w:val="-10"/>
        </w:rPr>
        <w:drawing>
          <wp:inline distT="0" distB="0" distL="0" distR="0" wp14:anchorId="63267A39" wp14:editId="562BBE6A">
            <wp:extent cx="552450"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2450" cy="241300"/>
                    </a:xfrm>
                    <a:prstGeom prst="rect">
                      <a:avLst/>
                    </a:prstGeom>
                    <a:noFill/>
                    <a:ln>
                      <a:noFill/>
                    </a:ln>
                  </pic:spPr>
                </pic:pic>
              </a:graphicData>
            </a:graphic>
          </wp:inline>
        </w:drawing>
      </w:r>
      <w:r>
        <w:t xml:space="preserve"> of monitored PDCCH candidates per slot for a DL BWP with SCS configuration </w:t>
      </w:r>
      <w:r>
        <w:rPr>
          <w:noProof/>
          <w:position w:val="-10"/>
        </w:rPr>
        <w:drawing>
          <wp:inline distT="0" distB="0" distL="0" distR="0" wp14:anchorId="6734BCF3" wp14:editId="6D41AB50">
            <wp:extent cx="736600" cy="1841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E9206F" w:rsidRPr="00B916EC" w14:paraId="3CD37869" w14:textId="77777777" w:rsidTr="001415B6">
        <w:trPr>
          <w:cantSplit/>
          <w:jc w:val="center"/>
        </w:trPr>
        <w:tc>
          <w:tcPr>
            <w:tcW w:w="1465" w:type="dxa"/>
            <w:shd w:val="clear" w:color="auto" w:fill="E0E0E0"/>
            <w:vAlign w:val="center"/>
          </w:tcPr>
          <w:p w14:paraId="5ED04657" w14:textId="77777777" w:rsidR="00E9206F" w:rsidRPr="00B916EC" w:rsidRDefault="00E9206F" w:rsidP="001415B6">
            <w:pPr>
              <w:pStyle w:val="TAH"/>
              <w:rPr>
                <w:rFonts w:ascii="Times New Roman" w:hAnsi="Times New Roman"/>
                <w:sz w:val="20"/>
              </w:rPr>
            </w:pPr>
            <w:r>
              <w:rPr>
                <w:noProof/>
                <w:position w:val="-10"/>
              </w:rPr>
              <w:drawing>
                <wp:inline distT="0" distB="0" distL="0" distR="0" wp14:anchorId="0B5611A1" wp14:editId="7FEF00D0">
                  <wp:extent cx="18415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00" w:type="dxa"/>
            <w:shd w:val="clear" w:color="auto" w:fill="E0E0E0"/>
            <w:vAlign w:val="center"/>
          </w:tcPr>
          <w:p w14:paraId="7727617A" w14:textId="77777777" w:rsidR="00E9206F" w:rsidRPr="00B916EC" w:rsidRDefault="00E9206F" w:rsidP="001415B6">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rPr>
              <w:drawing>
                <wp:inline distT="0" distB="0" distL="0" distR="0" wp14:anchorId="0EFF15AA" wp14:editId="6AEED606">
                  <wp:extent cx="552450" cy="24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p>
        </w:tc>
      </w:tr>
      <w:tr w:rsidR="00E9206F" w:rsidRPr="00B916EC" w14:paraId="5AE6B3BB" w14:textId="77777777" w:rsidTr="001415B6">
        <w:trPr>
          <w:cantSplit/>
          <w:jc w:val="center"/>
        </w:trPr>
        <w:tc>
          <w:tcPr>
            <w:tcW w:w="1465" w:type="dxa"/>
            <w:vAlign w:val="center"/>
          </w:tcPr>
          <w:p w14:paraId="17BF2DFD" w14:textId="77777777" w:rsidR="00E9206F" w:rsidRPr="00B916EC" w:rsidRDefault="00E9206F" w:rsidP="001415B6">
            <w:pPr>
              <w:pStyle w:val="TAC"/>
            </w:pPr>
            <w:r>
              <w:t>0</w:t>
            </w:r>
          </w:p>
        </w:tc>
        <w:tc>
          <w:tcPr>
            <w:tcW w:w="7800" w:type="dxa"/>
            <w:vAlign w:val="center"/>
          </w:tcPr>
          <w:p w14:paraId="1C53EE39" w14:textId="77777777" w:rsidR="00E9206F" w:rsidRPr="00B916EC" w:rsidRDefault="00E9206F" w:rsidP="001415B6">
            <w:pPr>
              <w:pStyle w:val="TAC"/>
            </w:pPr>
            <w:r w:rsidRPr="00B916EC">
              <w:t>4</w:t>
            </w:r>
            <w:r>
              <w:t>4</w:t>
            </w:r>
          </w:p>
        </w:tc>
      </w:tr>
      <w:tr w:rsidR="00E9206F" w:rsidRPr="00B916EC" w14:paraId="7C66974C" w14:textId="77777777" w:rsidTr="001415B6">
        <w:trPr>
          <w:cantSplit/>
          <w:jc w:val="center"/>
        </w:trPr>
        <w:tc>
          <w:tcPr>
            <w:tcW w:w="1465" w:type="dxa"/>
            <w:vAlign w:val="center"/>
          </w:tcPr>
          <w:p w14:paraId="5F8A0185" w14:textId="77777777" w:rsidR="00E9206F" w:rsidRPr="00B916EC" w:rsidRDefault="00E9206F" w:rsidP="001415B6">
            <w:pPr>
              <w:pStyle w:val="TAC"/>
            </w:pPr>
            <w:r>
              <w:t>1</w:t>
            </w:r>
          </w:p>
        </w:tc>
        <w:tc>
          <w:tcPr>
            <w:tcW w:w="7800" w:type="dxa"/>
            <w:vAlign w:val="center"/>
          </w:tcPr>
          <w:p w14:paraId="4C693D6F" w14:textId="77777777" w:rsidR="00E9206F" w:rsidRPr="00B916EC" w:rsidRDefault="00E9206F" w:rsidP="001415B6">
            <w:pPr>
              <w:pStyle w:val="TAC"/>
            </w:pPr>
            <w:r>
              <w:t>36</w:t>
            </w:r>
          </w:p>
        </w:tc>
      </w:tr>
      <w:tr w:rsidR="00E9206F" w:rsidRPr="00B916EC" w14:paraId="2CB22FC8" w14:textId="77777777" w:rsidTr="001415B6">
        <w:trPr>
          <w:cantSplit/>
          <w:jc w:val="center"/>
        </w:trPr>
        <w:tc>
          <w:tcPr>
            <w:tcW w:w="1465" w:type="dxa"/>
            <w:vAlign w:val="center"/>
          </w:tcPr>
          <w:p w14:paraId="06C745DC" w14:textId="77777777" w:rsidR="00E9206F" w:rsidRPr="00B916EC" w:rsidRDefault="00E9206F" w:rsidP="001415B6">
            <w:pPr>
              <w:pStyle w:val="TAC"/>
            </w:pPr>
            <w:r>
              <w:t>2</w:t>
            </w:r>
          </w:p>
        </w:tc>
        <w:tc>
          <w:tcPr>
            <w:tcW w:w="7800" w:type="dxa"/>
            <w:vAlign w:val="center"/>
          </w:tcPr>
          <w:p w14:paraId="25CFB728" w14:textId="77777777" w:rsidR="00E9206F" w:rsidRPr="00B916EC" w:rsidRDefault="00E9206F" w:rsidP="001415B6">
            <w:pPr>
              <w:pStyle w:val="TAC"/>
            </w:pPr>
            <w:r>
              <w:t>22</w:t>
            </w:r>
          </w:p>
        </w:tc>
      </w:tr>
      <w:tr w:rsidR="00E9206F" w:rsidRPr="00B916EC" w14:paraId="137F4425" w14:textId="77777777" w:rsidTr="001415B6">
        <w:trPr>
          <w:cantSplit/>
          <w:jc w:val="center"/>
        </w:trPr>
        <w:tc>
          <w:tcPr>
            <w:tcW w:w="1465" w:type="dxa"/>
            <w:vAlign w:val="center"/>
          </w:tcPr>
          <w:p w14:paraId="4ADFD29D" w14:textId="77777777" w:rsidR="00E9206F" w:rsidRDefault="00E9206F" w:rsidP="001415B6">
            <w:pPr>
              <w:pStyle w:val="TAC"/>
            </w:pPr>
            <w:r>
              <w:t>3</w:t>
            </w:r>
          </w:p>
        </w:tc>
        <w:tc>
          <w:tcPr>
            <w:tcW w:w="7800" w:type="dxa"/>
            <w:vAlign w:val="center"/>
          </w:tcPr>
          <w:p w14:paraId="079FAB67" w14:textId="77777777" w:rsidR="00E9206F" w:rsidRDefault="00E9206F" w:rsidP="001415B6">
            <w:pPr>
              <w:pStyle w:val="TAC"/>
            </w:pPr>
            <w:r>
              <w:t>20</w:t>
            </w:r>
          </w:p>
        </w:tc>
      </w:tr>
    </w:tbl>
    <w:p w14:paraId="1465FBFD" w14:textId="77777777" w:rsidR="00E9206F" w:rsidRDefault="00E9206F" w:rsidP="00E9206F">
      <w:pPr>
        <w:pStyle w:val="BodyText"/>
      </w:pPr>
    </w:p>
    <w:p w14:paraId="2780C365" w14:textId="77777777" w:rsidR="00E9206F" w:rsidRPr="00B916EC" w:rsidRDefault="00E9206F" w:rsidP="00E9206F">
      <w:pPr>
        <w:pStyle w:val="TH"/>
        <w:jc w:val="both"/>
      </w:pPr>
      <w:r>
        <w:t>Table 10.1-3</w:t>
      </w:r>
      <w:r w:rsidRPr="00B916EC">
        <w:t xml:space="preserve">: </w:t>
      </w:r>
      <w:r>
        <w:t xml:space="preserve">Maximum number </w:t>
      </w:r>
      <w:r>
        <w:rPr>
          <w:noProof/>
          <w:position w:val="-10"/>
        </w:rPr>
        <w:drawing>
          <wp:inline distT="0" distB="0" distL="0" distR="0" wp14:anchorId="67959804" wp14:editId="70F5CAC2">
            <wp:extent cx="488950" cy="2413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t xml:space="preserve"> of non-overlapped CCEs per slot for a DL BWP with SCS configuration </w:t>
      </w:r>
      <w:r>
        <w:rPr>
          <w:noProof/>
          <w:position w:val="-10"/>
        </w:rPr>
        <w:drawing>
          <wp:inline distT="0" distB="0" distL="0" distR="0" wp14:anchorId="2070779A" wp14:editId="15A923FE">
            <wp:extent cx="7366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E9206F" w:rsidRPr="00BB208D" w14:paraId="4931F934" w14:textId="77777777" w:rsidTr="001415B6">
        <w:trPr>
          <w:cantSplit/>
          <w:jc w:val="center"/>
        </w:trPr>
        <w:tc>
          <w:tcPr>
            <w:tcW w:w="1465" w:type="dxa"/>
            <w:shd w:val="clear" w:color="auto" w:fill="E0E0E0"/>
            <w:vAlign w:val="center"/>
          </w:tcPr>
          <w:p w14:paraId="11D4D329" w14:textId="77777777" w:rsidR="00E9206F" w:rsidRPr="00B916EC" w:rsidRDefault="00E9206F" w:rsidP="001415B6">
            <w:pPr>
              <w:pStyle w:val="TAH"/>
              <w:rPr>
                <w:rFonts w:ascii="Times New Roman" w:hAnsi="Times New Roman"/>
                <w:sz w:val="20"/>
              </w:rPr>
            </w:pPr>
            <w:r>
              <w:rPr>
                <w:noProof/>
                <w:position w:val="-10"/>
              </w:rPr>
              <w:drawing>
                <wp:inline distT="0" distB="0" distL="0" distR="0" wp14:anchorId="14D680F9" wp14:editId="041E7EB1">
                  <wp:extent cx="18415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170" w:type="dxa"/>
            <w:shd w:val="clear" w:color="auto" w:fill="E0E0E0"/>
            <w:vAlign w:val="center"/>
          </w:tcPr>
          <w:p w14:paraId="2CB57ABA" w14:textId="77777777" w:rsidR="00E9206F" w:rsidRPr="00B916EC" w:rsidRDefault="00E9206F" w:rsidP="001415B6">
            <w:pPr>
              <w:pStyle w:val="TAH"/>
              <w:rPr>
                <w:rFonts w:ascii="Times New Roman" w:hAnsi="Times New Roman"/>
                <w:sz w:val="20"/>
              </w:rPr>
            </w:pPr>
            <w:r>
              <w:t>Maximum n</w:t>
            </w:r>
            <w:r w:rsidRPr="00B916EC">
              <w:t xml:space="preserve">umber of </w:t>
            </w:r>
            <w:r>
              <w:t xml:space="preserve">non-overlapped CCEs per slot and per serving cell </w:t>
            </w:r>
            <w:r>
              <w:rPr>
                <w:noProof/>
                <w:position w:val="-10"/>
              </w:rPr>
              <w:drawing>
                <wp:inline distT="0" distB="0" distL="0" distR="0" wp14:anchorId="20EF028D" wp14:editId="0C41A22F">
                  <wp:extent cx="488950" cy="2476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88950" cy="247650"/>
                          </a:xfrm>
                          <a:prstGeom prst="rect">
                            <a:avLst/>
                          </a:prstGeom>
                          <a:noFill/>
                          <a:ln>
                            <a:noFill/>
                          </a:ln>
                        </pic:spPr>
                      </pic:pic>
                    </a:graphicData>
                  </a:graphic>
                </wp:inline>
              </w:drawing>
            </w:r>
          </w:p>
        </w:tc>
      </w:tr>
      <w:tr w:rsidR="00E9206F" w:rsidRPr="00BB208D" w14:paraId="0F2C5B62" w14:textId="77777777" w:rsidTr="001415B6">
        <w:trPr>
          <w:cantSplit/>
          <w:jc w:val="center"/>
        </w:trPr>
        <w:tc>
          <w:tcPr>
            <w:tcW w:w="1465" w:type="dxa"/>
            <w:vAlign w:val="center"/>
          </w:tcPr>
          <w:p w14:paraId="1D320C3F" w14:textId="77777777" w:rsidR="00E9206F" w:rsidRPr="00B916EC" w:rsidRDefault="00E9206F" w:rsidP="001415B6">
            <w:pPr>
              <w:pStyle w:val="TAC"/>
            </w:pPr>
            <w:r>
              <w:t>0</w:t>
            </w:r>
          </w:p>
        </w:tc>
        <w:tc>
          <w:tcPr>
            <w:tcW w:w="7170" w:type="dxa"/>
            <w:vAlign w:val="center"/>
          </w:tcPr>
          <w:p w14:paraId="240C83E3" w14:textId="77777777" w:rsidR="00E9206F" w:rsidRPr="00B916EC" w:rsidRDefault="00E9206F" w:rsidP="001415B6">
            <w:pPr>
              <w:pStyle w:val="TAC"/>
            </w:pPr>
            <w:r>
              <w:t>56</w:t>
            </w:r>
          </w:p>
        </w:tc>
      </w:tr>
      <w:tr w:rsidR="00E9206F" w:rsidRPr="00BB208D" w14:paraId="3FD60FF7" w14:textId="77777777" w:rsidTr="001415B6">
        <w:trPr>
          <w:cantSplit/>
          <w:jc w:val="center"/>
        </w:trPr>
        <w:tc>
          <w:tcPr>
            <w:tcW w:w="1465" w:type="dxa"/>
            <w:vAlign w:val="center"/>
          </w:tcPr>
          <w:p w14:paraId="33BA6FC1" w14:textId="77777777" w:rsidR="00E9206F" w:rsidRPr="00B916EC" w:rsidRDefault="00E9206F" w:rsidP="001415B6">
            <w:pPr>
              <w:pStyle w:val="TAC"/>
            </w:pPr>
            <w:r>
              <w:t>1</w:t>
            </w:r>
          </w:p>
        </w:tc>
        <w:tc>
          <w:tcPr>
            <w:tcW w:w="7170" w:type="dxa"/>
            <w:vAlign w:val="center"/>
          </w:tcPr>
          <w:p w14:paraId="125E1EF3" w14:textId="77777777" w:rsidR="00E9206F" w:rsidRPr="00B916EC" w:rsidRDefault="00E9206F" w:rsidP="001415B6">
            <w:pPr>
              <w:pStyle w:val="TAC"/>
            </w:pPr>
            <w:r>
              <w:t>56</w:t>
            </w:r>
          </w:p>
        </w:tc>
      </w:tr>
      <w:tr w:rsidR="00E9206F" w:rsidRPr="00BB208D" w14:paraId="05F4276D" w14:textId="77777777" w:rsidTr="001415B6">
        <w:trPr>
          <w:cantSplit/>
          <w:jc w:val="center"/>
        </w:trPr>
        <w:tc>
          <w:tcPr>
            <w:tcW w:w="1465" w:type="dxa"/>
            <w:vAlign w:val="center"/>
          </w:tcPr>
          <w:p w14:paraId="122F5FB5" w14:textId="77777777" w:rsidR="00E9206F" w:rsidRPr="00B916EC" w:rsidRDefault="00E9206F" w:rsidP="001415B6">
            <w:pPr>
              <w:pStyle w:val="TAC"/>
            </w:pPr>
            <w:r>
              <w:t>2</w:t>
            </w:r>
          </w:p>
        </w:tc>
        <w:tc>
          <w:tcPr>
            <w:tcW w:w="7170" w:type="dxa"/>
            <w:vAlign w:val="center"/>
          </w:tcPr>
          <w:p w14:paraId="3E776896" w14:textId="77777777" w:rsidR="00E9206F" w:rsidRPr="00B916EC" w:rsidRDefault="00E9206F" w:rsidP="001415B6">
            <w:pPr>
              <w:pStyle w:val="TAC"/>
            </w:pPr>
            <w:r>
              <w:t>48</w:t>
            </w:r>
          </w:p>
        </w:tc>
      </w:tr>
      <w:tr w:rsidR="00E9206F" w:rsidRPr="00BB208D" w14:paraId="68418F45" w14:textId="77777777" w:rsidTr="001415B6">
        <w:trPr>
          <w:cantSplit/>
          <w:jc w:val="center"/>
        </w:trPr>
        <w:tc>
          <w:tcPr>
            <w:tcW w:w="1465" w:type="dxa"/>
            <w:vAlign w:val="center"/>
          </w:tcPr>
          <w:p w14:paraId="0299276A" w14:textId="77777777" w:rsidR="00E9206F" w:rsidRDefault="00E9206F" w:rsidP="001415B6">
            <w:pPr>
              <w:pStyle w:val="TAC"/>
            </w:pPr>
            <w:r>
              <w:t>3</w:t>
            </w:r>
          </w:p>
        </w:tc>
        <w:tc>
          <w:tcPr>
            <w:tcW w:w="7170" w:type="dxa"/>
            <w:vAlign w:val="center"/>
          </w:tcPr>
          <w:p w14:paraId="4889C46E" w14:textId="77777777" w:rsidR="00E9206F" w:rsidRDefault="00E9206F" w:rsidP="001415B6">
            <w:pPr>
              <w:pStyle w:val="TAC"/>
            </w:pPr>
            <w:r>
              <w:t>32</w:t>
            </w:r>
          </w:p>
        </w:tc>
      </w:tr>
    </w:tbl>
    <w:p w14:paraId="36223CB5" w14:textId="77777777" w:rsidR="00E9206F" w:rsidRDefault="00E9206F" w:rsidP="00E9206F">
      <w:pPr>
        <w:pStyle w:val="BodyText"/>
      </w:pPr>
    </w:p>
    <w:p w14:paraId="5A7FC225" w14:textId="77777777" w:rsidR="00E9206F" w:rsidRPr="000E4B12" w:rsidRDefault="00E9206F" w:rsidP="00E9206F">
      <w:pPr>
        <w:pStyle w:val="BodyText"/>
      </w:pPr>
      <w:r>
        <w:t xml:space="preserve">As a first step to start the processing timeline discussion, we fit simple formulae to the Rel-15 processing capabilities as the benchmarks for NR operation in 52.6 to 71 GHz. </w:t>
      </w:r>
      <w:r w:rsidRPr="000E4B12">
        <w:t>The Rel-15 PDCCH processing capabilities per slot can be fitted to simple formulae to obtain initial benchmarks for further discussion. Using the minimum mean absolute deviation fitting, the fitted PDCCH processing capabilities per slot are shown as follows:</w:t>
      </w:r>
    </w:p>
    <w:p w14:paraId="7247EFD6" w14:textId="051ECB14" w:rsidR="00E9206F" w:rsidRPr="00BA04A6" w:rsidRDefault="00AC177F" w:rsidP="00E9206F">
      <w:pPr>
        <w:pStyle w:val="BodyText"/>
        <w:rPr>
          <w:rFonts w:eastAsiaTheme="minorEastAsia"/>
        </w:rPr>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BD</m:t>
              </m:r>
              <m:r>
                <m:rPr>
                  <m:sty m:val="p"/>
                </m:rPr>
                <w:rPr>
                  <w:rFonts w:ascii="Cambria Math" w:hAnsi="Cambria Math" w:cs="Times New Roman"/>
                </w:rPr>
                <m:t>, μ</m:t>
              </m:r>
            </m:sub>
            <m:sup>
              <m:r>
                <m:rPr>
                  <m:sty m:val="p"/>
                </m:rPr>
                <w:rPr>
                  <w:rFonts w:ascii="Cambria Math" w:hAnsi="Cambria Math"/>
                </w:rPr>
                <m:t>slot</m:t>
              </m:r>
            </m:sup>
          </m:sSubSup>
          <m:r>
            <m:rPr>
              <m:aln/>
            </m:rPr>
            <w:rPr>
              <w:rFonts w:ascii="Cambria Math" w:hAnsi="Cambria Math"/>
            </w:rPr>
            <m:t>≅44×</m:t>
          </m:r>
          <m:sSup>
            <m:sSupPr>
              <m:ctrlPr>
                <w:rPr>
                  <w:rFonts w:ascii="Cambria Math" w:hAnsi="Cambria Math"/>
                </w:rPr>
              </m:ctrlPr>
            </m:sSupPr>
            <m:e>
              <m:r>
                <w:rPr>
                  <w:rFonts w:ascii="Cambria Math" w:hAnsi="Cambria Math"/>
                </w:rPr>
                <m:t>2</m:t>
              </m:r>
            </m:e>
            <m:sup>
              <m:r>
                <w:rPr>
                  <w:rFonts w:ascii="Cambria Math" w:hAnsi="Cambria Math"/>
                </w:rPr>
                <m:t>-0.38μ</m:t>
              </m:r>
            </m:sup>
          </m:sSup>
          <m:r>
            <m:rPr>
              <m:sty m:val="p"/>
            </m:rPr>
            <w:br/>
          </m:r>
        </m:oMath>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b"/>
                </m:rPr>
                <w:rPr>
                  <w:rFonts w:ascii="Cambria Math" w:hAnsi="Cambria Math" w:cs="Times New Roman"/>
                </w:rPr>
                <m:t xml:space="preserve">, </m:t>
              </m:r>
              <m:r>
                <m:rPr>
                  <m:sty m:val="p"/>
                </m:rPr>
                <w:rPr>
                  <w:rFonts w:ascii="Cambria Math" w:hAnsi="Cambria Math" w:cs="Times New Roman"/>
                </w:rPr>
                <m:t>μ</m:t>
              </m:r>
            </m:sub>
            <m:sup>
              <m:r>
                <m:rPr>
                  <m:sty m:val="p"/>
                </m:rPr>
                <w:rPr>
                  <w:rFonts w:ascii="Cambria Math" w:hAnsi="Cambria Math"/>
                </w:rPr>
                <m:t>slot</m:t>
              </m:r>
            </m:sup>
          </m:sSubSup>
          <m:r>
            <m:rPr>
              <m:sty m:val="p"/>
              <m:aln/>
            </m:rPr>
            <w:rPr>
              <w:rFonts w:ascii="Cambria Math" w:hAnsi="Cambria Math"/>
            </w:rPr>
            <m:t>≅62.6×</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-0.32</m:t>
              </m:r>
              <m:r>
                <w:rPr>
                  <w:rFonts w:ascii="Cambria Math" w:hAnsi="Cambria Math"/>
                </w:rPr>
                <m:t>μ</m:t>
              </m:r>
            </m:sup>
          </m:sSup>
        </m:oMath>
      </m:oMathPara>
    </w:p>
    <w:p w14:paraId="4CC8E23F" w14:textId="1639D9D8" w:rsidR="00E9206F" w:rsidRPr="00B04ED4" w:rsidRDefault="00E9206F" w:rsidP="00E9206F">
      <w:pPr>
        <w:pStyle w:val="BodyText"/>
      </w:pPr>
      <w:r w:rsidRPr="00B24670">
        <w:t xml:space="preserve">The formula was optimized to minimize the mean absolute deviation from the Rel-15 values. </w:t>
      </w:r>
      <w:bookmarkStart w:id="37" w:name="_Hlk61353668"/>
      <w:r w:rsidRPr="00B24670">
        <w:t>The fitted formulae clearly exhibit exponential reduction in UE PDCCH processing capabilities with higher numerologies</w:t>
      </w:r>
      <w:r>
        <w:t xml:space="preserve"> as can be further observed in </w:t>
      </w:r>
      <w:r>
        <w:fldChar w:fldCharType="begin"/>
      </w:r>
      <w:r>
        <w:instrText xml:space="preserve"> REF _Ref60921413 \h </w:instrText>
      </w:r>
      <w:r>
        <w:fldChar w:fldCharType="separate"/>
      </w:r>
      <w:r w:rsidR="00D90AF8">
        <w:t xml:space="preserve">Figure </w:t>
      </w:r>
      <w:r w:rsidR="00D90AF8">
        <w:rPr>
          <w:noProof/>
        </w:rPr>
        <w:t>14</w:t>
      </w:r>
      <w:r>
        <w:fldChar w:fldCharType="end"/>
      </w:r>
      <w:r w:rsidRPr="00B24670">
        <w:t>.</w:t>
      </w:r>
      <w:bookmarkEnd w:id="37"/>
      <w:r>
        <w:t xml:space="preserve"> Since </w:t>
      </w:r>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b"/>
              </m:rPr>
              <w:rPr>
                <w:rFonts w:ascii="Cambria Math" w:hAnsi="Cambria Math" w:cs="Times New Roman"/>
              </w:rPr>
              <m:t xml:space="preserve">, </m:t>
            </m:r>
            <m:r>
              <m:rPr>
                <m:sty m:val="p"/>
              </m:rPr>
              <w:rPr>
                <w:rFonts w:ascii="Cambria Math" w:hAnsi="Cambria Math" w:cs="Times New Roman"/>
              </w:rPr>
              <m:t>μ</m:t>
            </m:r>
          </m:sub>
          <m:sup>
            <m:r>
              <m:rPr>
                <m:sty m:val="p"/>
              </m:rPr>
              <w:rPr>
                <w:rFonts w:ascii="Cambria Math" w:hAnsi="Cambria Math"/>
              </w:rPr>
              <m:t>slot</m:t>
            </m:r>
          </m:sup>
        </m:sSubSup>
      </m:oMath>
      <w:r>
        <w:rPr>
          <w:rFonts w:eastAsiaTheme="minorEastAsia"/>
        </w:rPr>
        <w:t xml:space="preserve"> for </w:t>
      </w:r>
      <m:oMath>
        <m:r>
          <w:rPr>
            <w:rFonts w:ascii="Cambria Math" w:eastAsiaTheme="minorEastAsia" w:hAnsi="Cambria Math"/>
          </w:rPr>
          <m:t>μ=0</m:t>
        </m:r>
      </m:oMath>
      <w:r>
        <w:rPr>
          <w:rFonts w:eastAsiaTheme="minorEastAsia"/>
        </w:rPr>
        <w:t xml:space="preserve"> and </w:t>
      </w:r>
      <m:oMath>
        <m:r>
          <w:rPr>
            <w:rFonts w:ascii="Cambria Math" w:eastAsiaTheme="minorEastAsia" w:hAnsi="Cambria Math"/>
          </w:rPr>
          <m:t>μ=1</m:t>
        </m:r>
      </m:oMath>
      <w:r>
        <w:rPr>
          <w:rFonts w:eastAsiaTheme="minorEastAsia"/>
        </w:rPr>
        <w:t xml:space="preserve"> are identical, the fitting uses a nominal </w:t>
      </w:r>
      <m:oMath>
        <m:r>
          <w:rPr>
            <w:rFonts w:ascii="Cambria Math" w:eastAsiaTheme="minorEastAsia" w:hAnsi="Cambria Math"/>
          </w:rPr>
          <m:t>μ=0.5</m:t>
        </m:r>
      </m:oMath>
      <w:r>
        <w:rPr>
          <w:rFonts w:eastAsiaTheme="minorEastAsia"/>
        </w:rPr>
        <w:t xml:space="preserve"> to pair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b"/>
              </m:rPr>
              <w:rPr>
                <w:rFonts w:ascii="Cambria Math" w:hAnsi="Cambria Math" w:cs="Times New Roman"/>
              </w:rPr>
              <m:t xml:space="preserve">, </m:t>
            </m:r>
            <m:r>
              <m:rPr>
                <m:sty m:val="p"/>
              </m:rPr>
              <w:rPr>
                <w:rFonts w:ascii="Cambria Math" w:hAnsi="Cambria Math" w:cs="Times New Roman"/>
              </w:rPr>
              <m:t>μ</m:t>
            </m:r>
          </m:sub>
          <m:sup>
            <m:r>
              <m:rPr>
                <m:sty m:val="p"/>
              </m:rPr>
              <w:rPr>
                <w:rFonts w:ascii="Cambria Math" w:hAnsi="Cambria Math"/>
              </w:rPr>
              <m:t>slot</m:t>
            </m:r>
          </m:sup>
        </m:sSubSup>
        <m:r>
          <w:rPr>
            <w:rFonts w:ascii="Cambria Math" w:hAnsi="Cambria Math"/>
          </w:rPr>
          <m:t>=56</m:t>
        </m:r>
      </m:oMath>
      <w:r>
        <w:rPr>
          <w:rFonts w:eastAsiaTheme="minorEastAsia"/>
        </w:rPr>
        <w:t xml:space="preserve"> as input.</w:t>
      </w:r>
    </w:p>
    <w:p w14:paraId="519C6E51" w14:textId="77777777" w:rsidR="00E9206F" w:rsidRDefault="00E9206F" w:rsidP="00E9206F">
      <w:pPr>
        <w:pStyle w:val="BodyText"/>
        <w:jc w:val="center"/>
      </w:pPr>
      <w:r>
        <w:rPr>
          <w:noProof/>
          <w:sz w:val="16"/>
          <w:szCs w:val="16"/>
          <w:lang w:eastAsia="en-US"/>
        </w:rPr>
        <w:drawing>
          <wp:inline distT="0" distB="0" distL="0" distR="0" wp14:anchorId="4CF79913" wp14:editId="51B849FD">
            <wp:extent cx="3200400" cy="2395728"/>
            <wp:effectExtent l="0" t="0" r="0" b="508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d_cce_extrapolation.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3200400" cy="2395728"/>
                    </a:xfrm>
                    <a:prstGeom prst="rect">
                      <a:avLst/>
                    </a:prstGeom>
                  </pic:spPr>
                </pic:pic>
              </a:graphicData>
            </a:graphic>
          </wp:inline>
        </w:drawing>
      </w:r>
    </w:p>
    <w:p w14:paraId="7940F4AF" w14:textId="15806859" w:rsidR="00E9206F" w:rsidRDefault="00E9206F" w:rsidP="00E9206F">
      <w:pPr>
        <w:pStyle w:val="Caption"/>
        <w:jc w:val="center"/>
      </w:pPr>
      <w:bookmarkStart w:id="38" w:name="_Ref60921413"/>
      <w:bookmarkStart w:id="39" w:name="_Hlk61354178"/>
      <w:r>
        <w:t xml:space="preserve">Figure </w:t>
      </w:r>
      <w:r>
        <w:fldChar w:fldCharType="begin"/>
      </w:r>
      <w:r>
        <w:instrText xml:space="preserve"> SEQ Figure \* ARABIC </w:instrText>
      </w:r>
      <w:r>
        <w:fldChar w:fldCharType="separate"/>
      </w:r>
      <w:r w:rsidR="00D90AF8">
        <w:rPr>
          <w:noProof/>
        </w:rPr>
        <w:t>14</w:t>
      </w:r>
      <w:r>
        <w:fldChar w:fldCharType="end"/>
      </w:r>
      <w:bookmarkEnd w:id="38"/>
      <w:r>
        <w:t xml:space="preserve">: Extrapolated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BD</m:t>
            </m:r>
          </m:sub>
          <m:sup>
            <m:r>
              <m:rPr>
                <m:sty m:val="b"/>
              </m:rPr>
              <w:rPr>
                <w:rFonts w:ascii="Cambria Math" w:hAnsi="Cambria Math"/>
              </w:rPr>
              <m:t>slot</m:t>
            </m:r>
          </m:sup>
        </m:sSubSup>
      </m:oMath>
      <w:r w:rsidRPr="000E4B12">
        <w:rPr>
          <w:rFonts w:cs="Arial"/>
        </w:rPr>
        <w:t xml:space="preserve"> and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CCE</m:t>
            </m:r>
          </m:sub>
          <m:sup>
            <m:r>
              <m:rPr>
                <m:sty m:val="b"/>
              </m:rPr>
              <w:rPr>
                <w:rFonts w:ascii="Cambria Math" w:hAnsi="Cambria Math"/>
              </w:rPr>
              <m:t>slot</m:t>
            </m:r>
          </m:sup>
        </m:sSubSup>
      </m:oMath>
      <w:r w:rsidRPr="000E4B12">
        <w:rPr>
          <w:rFonts w:cs="Arial"/>
          <w:iCs/>
        </w:rPr>
        <w:t xml:space="preserve"> </w:t>
      </w:r>
      <w:r w:rsidRPr="000E4B12">
        <w:rPr>
          <w:rFonts w:cs="Arial"/>
        </w:rPr>
        <w:t>values per slot</w:t>
      </w:r>
    </w:p>
    <w:bookmarkEnd w:id="39"/>
    <w:p w14:paraId="4BF7E6EB" w14:textId="5ED6E753" w:rsidR="00E9206F" w:rsidRDefault="00E9206F" w:rsidP="00E9206F">
      <w:pPr>
        <w:pStyle w:val="BodyText"/>
      </w:pPr>
      <w:r w:rsidRPr="00295441">
        <w:t xml:space="preserve">The extrapolated UE PDCCH processing capabilities </w:t>
      </w:r>
      <w:r>
        <w:t xml:space="preserve">in </w:t>
      </w:r>
      <w:r>
        <w:fldChar w:fldCharType="begin"/>
      </w:r>
      <w:r>
        <w:instrText xml:space="preserve"> REF _Ref60921413 \h </w:instrText>
      </w:r>
      <w:r>
        <w:fldChar w:fldCharType="separate"/>
      </w:r>
      <w:r w:rsidR="005B4FAA">
        <w:t xml:space="preserve">Figure </w:t>
      </w:r>
      <w:r w:rsidR="005B4FAA">
        <w:rPr>
          <w:noProof/>
        </w:rPr>
        <w:t>14</w:t>
      </w:r>
      <w:r>
        <w:fldChar w:fldCharType="end"/>
      </w:r>
      <w:r>
        <w:t xml:space="preserve"> </w:t>
      </w:r>
      <w:r w:rsidRPr="00295441">
        <w:t xml:space="preserve">are </w:t>
      </w:r>
      <w:r>
        <w:t>tabulated in</w:t>
      </w:r>
      <w:r w:rsidRPr="00295441">
        <w:t xml:space="preserve"> </w:t>
      </w:r>
      <w:r w:rsidRPr="00295441">
        <w:fldChar w:fldCharType="begin"/>
      </w:r>
      <w:r w:rsidRPr="00295441">
        <w:instrText xml:space="preserve"> REF _Ref60824877 \h  \* MERGEFORMAT </w:instrText>
      </w:r>
      <w:r w:rsidRPr="00295441">
        <w:fldChar w:fldCharType="separate"/>
      </w:r>
      <w:r w:rsidR="00711D1F" w:rsidRPr="00F91CFE">
        <w:t xml:space="preserve"> </w:t>
      </w:r>
      <w:r w:rsidR="00711D1F">
        <w:t>Table</w:t>
      </w:r>
      <w:r w:rsidR="00711D1F">
        <w:rPr>
          <w:noProof/>
        </w:rPr>
        <w:t xml:space="preserve"> 1</w:t>
      </w:r>
      <w:r w:rsidRPr="00295441">
        <w:fldChar w:fldCharType="end"/>
      </w:r>
      <w:r>
        <w:t xml:space="preserve"> as a function of SCS</w:t>
      </w:r>
      <w:r w:rsidRPr="00295441">
        <w:t xml:space="preserve">. The numbers indicate there may be doubts on whether the UE operating with a SCS such as 960 kHz SCS can support even one AL-16 PDCCH </w:t>
      </w:r>
      <w:r>
        <w:t>considering the need to configure a number of common and UE specific search spaces with various aggregation levels.</w:t>
      </w:r>
    </w:p>
    <w:p w14:paraId="00629D44" w14:textId="213FADA5" w:rsidR="00E9206F" w:rsidRPr="000E4B12" w:rsidRDefault="00E9206F" w:rsidP="00E9206F">
      <w:pPr>
        <w:pStyle w:val="Caption"/>
        <w:jc w:val="center"/>
        <w:rPr>
          <w:rFonts w:cs="Arial"/>
          <w:b w:val="0"/>
        </w:rPr>
      </w:pPr>
      <w:bookmarkStart w:id="40" w:name="_Ref60824877"/>
      <w:r w:rsidRPr="00F91CFE">
        <w:t xml:space="preserve"> </w:t>
      </w:r>
      <w:r>
        <w:t xml:space="preserve">Table </w:t>
      </w:r>
      <w:r>
        <w:fldChar w:fldCharType="begin"/>
      </w:r>
      <w:r>
        <w:instrText xml:space="preserve"> SEQ Table \* ARABIC </w:instrText>
      </w:r>
      <w:r>
        <w:fldChar w:fldCharType="separate"/>
      </w:r>
      <w:r w:rsidR="00711D1F">
        <w:rPr>
          <w:noProof/>
        </w:rPr>
        <w:t>1</w:t>
      </w:r>
      <w:r>
        <w:fldChar w:fldCharType="end"/>
      </w:r>
      <w:bookmarkEnd w:id="40"/>
      <w:r w:rsidRPr="000E4B12">
        <w:rPr>
          <w:rFonts w:cs="Arial"/>
        </w:rPr>
        <w:t xml:space="preserve">: Extrapolated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BD</m:t>
            </m:r>
          </m:sub>
          <m:sup>
            <m:r>
              <m:rPr>
                <m:sty m:val="b"/>
              </m:rPr>
              <w:rPr>
                <w:rFonts w:ascii="Cambria Math" w:hAnsi="Cambria Math"/>
              </w:rPr>
              <m:t>slot</m:t>
            </m:r>
          </m:sup>
        </m:sSubSup>
      </m:oMath>
      <w:r w:rsidRPr="000E4B12">
        <w:rPr>
          <w:rFonts w:cs="Arial"/>
        </w:rPr>
        <w:t xml:space="preserve"> and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CCE</m:t>
            </m:r>
          </m:sub>
          <m:sup>
            <m:r>
              <m:rPr>
                <m:sty m:val="b"/>
              </m:rPr>
              <w:rPr>
                <w:rFonts w:ascii="Cambria Math" w:hAnsi="Cambria Math"/>
              </w:rPr>
              <m:t>slot</m:t>
            </m:r>
          </m:sup>
        </m:sSubSup>
      </m:oMath>
      <w:r w:rsidRPr="000E4B12">
        <w:rPr>
          <w:rFonts w:cs="Arial"/>
          <w:iCs/>
        </w:rPr>
        <w:t xml:space="preserve"> </w:t>
      </w:r>
      <w:r w:rsidRPr="000E4B12">
        <w:rPr>
          <w:rFonts w:cs="Arial"/>
        </w:rPr>
        <w:t>values per slot</w:t>
      </w:r>
    </w:p>
    <w:tbl>
      <w:tblPr>
        <w:tblW w:w="7624" w:type="dxa"/>
        <w:tblInd w:w="895" w:type="dxa"/>
        <w:tblLayout w:type="fixed"/>
        <w:tblLook w:val="04A0" w:firstRow="1" w:lastRow="0" w:firstColumn="1" w:lastColumn="0" w:noHBand="0" w:noVBand="1"/>
      </w:tblPr>
      <w:tblGrid>
        <w:gridCol w:w="1530"/>
        <w:gridCol w:w="1015"/>
        <w:gridCol w:w="1016"/>
        <w:gridCol w:w="1016"/>
        <w:gridCol w:w="1015"/>
        <w:gridCol w:w="1016"/>
        <w:gridCol w:w="1016"/>
      </w:tblGrid>
      <w:tr w:rsidR="00E9206F" w:rsidRPr="000E4B12" w14:paraId="19722C8D" w14:textId="77777777" w:rsidTr="001415B6">
        <w:trPr>
          <w:trHeight w:val="52"/>
        </w:trPr>
        <w:tc>
          <w:tcPr>
            <w:tcW w:w="1530" w:type="dxa"/>
            <w:tcBorders>
              <w:top w:val="single" w:sz="4" w:space="0" w:color="auto"/>
              <w:left w:val="single" w:sz="4" w:space="0" w:color="auto"/>
              <w:bottom w:val="double" w:sz="4" w:space="0" w:color="auto"/>
              <w:right w:val="double" w:sz="4" w:space="0" w:color="auto"/>
            </w:tcBorders>
            <w:vAlign w:val="center"/>
            <w:hideMark/>
          </w:tcPr>
          <w:p w14:paraId="6237EFA6" w14:textId="77777777" w:rsidR="00E9206F" w:rsidRPr="000E4B12" w:rsidRDefault="00E9206F" w:rsidP="001415B6">
            <w:pPr>
              <w:spacing w:before="40" w:after="40"/>
              <w:jc w:val="center"/>
              <w:rPr>
                <w:lang w:eastAsia="zh-CN"/>
              </w:rPr>
            </w:pPr>
            <w:r w:rsidRPr="000E4B12">
              <w:rPr>
                <w:lang w:eastAsia="zh-CN"/>
              </w:rPr>
              <w:t>SCS [kHz]</w:t>
            </w:r>
          </w:p>
        </w:tc>
        <w:tc>
          <w:tcPr>
            <w:tcW w:w="1015" w:type="dxa"/>
            <w:tcBorders>
              <w:top w:val="single" w:sz="4" w:space="0" w:color="auto"/>
              <w:left w:val="double" w:sz="4" w:space="0" w:color="auto"/>
              <w:bottom w:val="double" w:sz="4" w:space="0" w:color="auto"/>
              <w:right w:val="single" w:sz="4" w:space="0" w:color="auto"/>
            </w:tcBorders>
            <w:vAlign w:val="center"/>
            <w:hideMark/>
          </w:tcPr>
          <w:p w14:paraId="16F1AB1F" w14:textId="77777777" w:rsidR="00E9206F" w:rsidRPr="000E4B12" w:rsidRDefault="00E9206F" w:rsidP="001415B6">
            <w:pPr>
              <w:spacing w:before="40" w:after="40"/>
              <w:jc w:val="center"/>
              <w:rPr>
                <w:lang w:val="en-GB" w:eastAsia="zh-CN"/>
              </w:rPr>
            </w:pPr>
            <w:r w:rsidRPr="000E4B12">
              <w:rPr>
                <w:lang w:val="en-GB" w:eastAsia="zh-CN"/>
              </w:rPr>
              <w:t>15</w:t>
            </w:r>
          </w:p>
        </w:tc>
        <w:tc>
          <w:tcPr>
            <w:tcW w:w="1016" w:type="dxa"/>
            <w:tcBorders>
              <w:top w:val="single" w:sz="4" w:space="0" w:color="auto"/>
              <w:left w:val="single" w:sz="4" w:space="0" w:color="auto"/>
              <w:bottom w:val="double" w:sz="4" w:space="0" w:color="auto"/>
              <w:right w:val="single" w:sz="4" w:space="0" w:color="auto"/>
            </w:tcBorders>
            <w:vAlign w:val="center"/>
            <w:hideMark/>
          </w:tcPr>
          <w:p w14:paraId="503E70C5" w14:textId="77777777" w:rsidR="00E9206F" w:rsidRPr="000E4B12" w:rsidRDefault="00E9206F" w:rsidP="001415B6">
            <w:pPr>
              <w:spacing w:before="40" w:after="40"/>
              <w:jc w:val="center"/>
              <w:rPr>
                <w:lang w:val="en-GB" w:eastAsia="zh-CN"/>
              </w:rPr>
            </w:pPr>
            <w:r w:rsidRPr="000E4B12">
              <w:rPr>
                <w:lang w:val="en-GB" w:eastAsia="zh-CN"/>
              </w:rPr>
              <w:t>30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06790B5D" w14:textId="77777777" w:rsidR="00E9206F" w:rsidRPr="000E4B12" w:rsidRDefault="00E9206F" w:rsidP="001415B6">
            <w:pPr>
              <w:spacing w:before="40" w:after="40"/>
              <w:jc w:val="center"/>
              <w:rPr>
                <w:lang w:val="en-GB" w:eastAsia="zh-CN"/>
              </w:rPr>
            </w:pPr>
            <w:r w:rsidRPr="000E4B12">
              <w:rPr>
                <w:lang w:val="en-GB" w:eastAsia="zh-CN"/>
              </w:rPr>
              <w:t>60</w:t>
            </w:r>
          </w:p>
        </w:tc>
        <w:tc>
          <w:tcPr>
            <w:tcW w:w="1015" w:type="dxa"/>
            <w:tcBorders>
              <w:top w:val="single" w:sz="4" w:space="0" w:color="auto"/>
              <w:left w:val="single" w:sz="4" w:space="0" w:color="auto"/>
              <w:bottom w:val="double" w:sz="4" w:space="0" w:color="auto"/>
              <w:right w:val="single" w:sz="4" w:space="0" w:color="auto"/>
            </w:tcBorders>
            <w:vAlign w:val="center"/>
            <w:hideMark/>
          </w:tcPr>
          <w:p w14:paraId="6CB5A16F" w14:textId="77777777" w:rsidR="00E9206F" w:rsidRPr="000E4B12" w:rsidRDefault="00E9206F" w:rsidP="001415B6">
            <w:pPr>
              <w:spacing w:before="40" w:after="40"/>
              <w:jc w:val="center"/>
              <w:rPr>
                <w:lang w:val="en-GB" w:eastAsia="zh-CN"/>
              </w:rPr>
            </w:pPr>
            <w:r w:rsidRPr="000E4B12">
              <w:rPr>
                <w:lang w:val="en-GB" w:eastAsia="zh-CN"/>
              </w:rPr>
              <w:t>120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0EFF1770" w14:textId="77777777" w:rsidR="00E9206F" w:rsidRPr="00F91CFE" w:rsidRDefault="00E9206F" w:rsidP="001415B6">
            <w:pPr>
              <w:spacing w:before="40" w:after="40"/>
              <w:jc w:val="center"/>
              <w:rPr>
                <w:color w:val="FF0000"/>
                <w:lang w:val="en-GB" w:eastAsia="zh-CN"/>
              </w:rPr>
            </w:pPr>
            <w:r w:rsidRPr="00F91CFE">
              <w:rPr>
                <w:color w:val="FF0000"/>
                <w:lang w:val="en-GB" w:eastAsia="zh-CN"/>
              </w:rPr>
              <w:t>480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6B32DDC1" w14:textId="77777777" w:rsidR="00E9206F" w:rsidRPr="00F91CFE" w:rsidRDefault="00E9206F" w:rsidP="001415B6">
            <w:pPr>
              <w:spacing w:before="40" w:after="40"/>
              <w:jc w:val="center"/>
              <w:rPr>
                <w:color w:val="FF0000"/>
                <w:lang w:val="en-GB" w:eastAsia="zh-CN"/>
              </w:rPr>
            </w:pPr>
            <w:r w:rsidRPr="00F91CFE">
              <w:rPr>
                <w:color w:val="FF0000"/>
                <w:lang w:val="en-GB" w:eastAsia="zh-CN"/>
              </w:rPr>
              <w:t>960</w:t>
            </w:r>
          </w:p>
        </w:tc>
      </w:tr>
      <w:tr w:rsidR="00E9206F" w:rsidRPr="000E4B12" w14:paraId="17ADF7DF" w14:textId="77777777" w:rsidTr="001415B6">
        <w:trPr>
          <w:trHeight w:val="52"/>
        </w:trPr>
        <w:tc>
          <w:tcPr>
            <w:tcW w:w="1530" w:type="dxa"/>
            <w:tcBorders>
              <w:top w:val="double" w:sz="4" w:space="0" w:color="auto"/>
              <w:left w:val="single" w:sz="4" w:space="0" w:color="auto"/>
              <w:bottom w:val="single" w:sz="4" w:space="0" w:color="auto"/>
              <w:right w:val="double" w:sz="4" w:space="0" w:color="auto"/>
            </w:tcBorders>
            <w:vAlign w:val="center"/>
            <w:hideMark/>
          </w:tcPr>
          <w:p w14:paraId="4C23E561" w14:textId="77777777" w:rsidR="00E9206F" w:rsidRPr="000E4B12" w:rsidRDefault="00AC177F" w:rsidP="001415B6">
            <w:pPr>
              <w:spacing w:before="40" w:after="40"/>
              <w:jc w:val="center"/>
              <w:rPr>
                <w:lang w:eastAsia="zh-CN"/>
              </w:rPr>
            </w:pPr>
            <m:oMathPara>
              <m:oMath>
                <m:sSubSup>
                  <m:sSubSupPr>
                    <m:ctrlPr>
                      <w:rPr>
                        <w:rFonts w:ascii="Cambria Math" w:hAnsi="Cambria Math"/>
                        <w:i/>
                        <w:iCs/>
                        <w:lang w:eastAsia="zh-CN"/>
                      </w:rPr>
                    </m:ctrlPr>
                  </m:sSubSupPr>
                  <m:e>
                    <m:r>
                      <w:rPr>
                        <w:rFonts w:ascii="Cambria Math" w:hAnsi="Cambria Math"/>
                        <w:lang w:eastAsia="zh-CN"/>
                      </w:rPr>
                      <m:t>N</m:t>
                    </m:r>
                  </m:e>
                  <m:sub>
                    <m:r>
                      <m:rPr>
                        <m:sty m:val="p"/>
                      </m:rPr>
                      <w:rPr>
                        <w:rFonts w:ascii="Cambria Math" w:hAnsi="Cambria Math"/>
                        <w:lang w:eastAsia="zh-CN"/>
                      </w:rPr>
                      <m:t>BD,μ</m:t>
                    </m:r>
                  </m:sub>
                  <m:sup>
                    <m:r>
                      <m:rPr>
                        <m:sty m:val="p"/>
                      </m:rPr>
                      <w:rPr>
                        <w:rFonts w:ascii="Cambria Math" w:hAnsi="Cambria Math"/>
                        <w:lang w:eastAsia="zh-CN"/>
                      </w:rPr>
                      <m:t>slot</m:t>
                    </m:r>
                  </m:sup>
                </m:sSubSup>
              </m:oMath>
            </m:oMathPara>
          </w:p>
        </w:tc>
        <w:tc>
          <w:tcPr>
            <w:tcW w:w="1015" w:type="dxa"/>
            <w:tcBorders>
              <w:top w:val="double" w:sz="4" w:space="0" w:color="auto"/>
              <w:left w:val="double" w:sz="4" w:space="0" w:color="auto"/>
              <w:bottom w:val="single" w:sz="4" w:space="0" w:color="auto"/>
              <w:right w:val="single" w:sz="4" w:space="0" w:color="auto"/>
            </w:tcBorders>
            <w:vAlign w:val="bottom"/>
            <w:hideMark/>
          </w:tcPr>
          <w:p w14:paraId="18239102" w14:textId="77777777" w:rsidR="00E9206F" w:rsidRPr="000E4B12" w:rsidRDefault="00E9206F" w:rsidP="001415B6">
            <w:pPr>
              <w:spacing w:before="40" w:after="40"/>
              <w:jc w:val="center"/>
              <w:rPr>
                <w:b/>
                <w:bCs/>
                <w:lang w:val="en-GB" w:eastAsia="zh-CN"/>
              </w:rPr>
            </w:pPr>
            <w:r w:rsidRPr="000E4B12">
              <w:rPr>
                <w:b/>
                <w:bCs/>
                <w:lang w:val="en-GB" w:eastAsia="zh-CN"/>
              </w:rPr>
              <w:t>44</w:t>
            </w:r>
          </w:p>
        </w:tc>
        <w:tc>
          <w:tcPr>
            <w:tcW w:w="1016" w:type="dxa"/>
            <w:tcBorders>
              <w:top w:val="double" w:sz="4" w:space="0" w:color="auto"/>
              <w:left w:val="single" w:sz="4" w:space="0" w:color="auto"/>
              <w:bottom w:val="single" w:sz="4" w:space="0" w:color="auto"/>
              <w:right w:val="single" w:sz="4" w:space="0" w:color="auto"/>
            </w:tcBorders>
            <w:vAlign w:val="bottom"/>
            <w:hideMark/>
          </w:tcPr>
          <w:p w14:paraId="277EBA3E" w14:textId="77777777" w:rsidR="00E9206F" w:rsidRPr="000E4B12" w:rsidRDefault="00E9206F" w:rsidP="001415B6">
            <w:pPr>
              <w:spacing w:before="40" w:after="40"/>
              <w:jc w:val="center"/>
              <w:rPr>
                <w:b/>
                <w:bCs/>
                <w:lang w:val="en-GB" w:eastAsia="zh-CN"/>
              </w:rPr>
            </w:pPr>
            <w:r w:rsidRPr="000E4B12">
              <w:rPr>
                <w:b/>
                <w:bCs/>
                <w:lang w:val="en-GB" w:eastAsia="zh-CN"/>
              </w:rPr>
              <w:t>36</w:t>
            </w:r>
          </w:p>
        </w:tc>
        <w:tc>
          <w:tcPr>
            <w:tcW w:w="1016" w:type="dxa"/>
            <w:tcBorders>
              <w:top w:val="double" w:sz="4" w:space="0" w:color="auto"/>
              <w:left w:val="single" w:sz="4" w:space="0" w:color="auto"/>
              <w:bottom w:val="single" w:sz="4" w:space="0" w:color="auto"/>
              <w:right w:val="single" w:sz="4" w:space="0" w:color="auto"/>
            </w:tcBorders>
            <w:vAlign w:val="bottom"/>
            <w:hideMark/>
          </w:tcPr>
          <w:p w14:paraId="43BB9F0F" w14:textId="77777777" w:rsidR="00E9206F" w:rsidRPr="000E4B12" w:rsidRDefault="00E9206F" w:rsidP="001415B6">
            <w:pPr>
              <w:spacing w:before="40" w:after="40"/>
              <w:jc w:val="center"/>
              <w:rPr>
                <w:b/>
                <w:bCs/>
                <w:lang w:val="en-GB" w:eastAsia="zh-CN"/>
              </w:rPr>
            </w:pPr>
            <w:r w:rsidRPr="000E4B12">
              <w:rPr>
                <w:b/>
                <w:bCs/>
                <w:lang w:val="en-GB" w:eastAsia="zh-CN"/>
              </w:rPr>
              <w:t>22</w:t>
            </w:r>
          </w:p>
        </w:tc>
        <w:tc>
          <w:tcPr>
            <w:tcW w:w="1015" w:type="dxa"/>
            <w:tcBorders>
              <w:top w:val="double" w:sz="4" w:space="0" w:color="auto"/>
              <w:left w:val="single" w:sz="4" w:space="0" w:color="auto"/>
              <w:bottom w:val="single" w:sz="4" w:space="0" w:color="auto"/>
              <w:right w:val="single" w:sz="4" w:space="0" w:color="auto"/>
            </w:tcBorders>
            <w:vAlign w:val="bottom"/>
            <w:hideMark/>
          </w:tcPr>
          <w:p w14:paraId="0FD1E7AE" w14:textId="77777777" w:rsidR="00E9206F" w:rsidRPr="000E4B12" w:rsidRDefault="00E9206F" w:rsidP="001415B6">
            <w:pPr>
              <w:spacing w:before="40" w:after="40"/>
              <w:jc w:val="center"/>
              <w:rPr>
                <w:b/>
                <w:bCs/>
                <w:lang w:val="en-GB" w:eastAsia="zh-CN"/>
              </w:rPr>
            </w:pPr>
            <w:r w:rsidRPr="000E4B12">
              <w:rPr>
                <w:b/>
                <w:bCs/>
                <w:lang w:val="en-GB" w:eastAsia="zh-CN"/>
              </w:rPr>
              <w:t>20</w:t>
            </w:r>
          </w:p>
        </w:tc>
        <w:tc>
          <w:tcPr>
            <w:tcW w:w="1016" w:type="dxa"/>
            <w:tcBorders>
              <w:top w:val="double" w:sz="4" w:space="0" w:color="auto"/>
              <w:left w:val="single" w:sz="4" w:space="0" w:color="auto"/>
              <w:bottom w:val="single" w:sz="4" w:space="0" w:color="auto"/>
              <w:right w:val="single" w:sz="4" w:space="0" w:color="auto"/>
            </w:tcBorders>
            <w:vAlign w:val="bottom"/>
            <w:hideMark/>
          </w:tcPr>
          <w:p w14:paraId="02B1C0E7" w14:textId="77777777" w:rsidR="00E9206F" w:rsidRPr="00F91CFE" w:rsidRDefault="00E9206F" w:rsidP="001415B6">
            <w:pPr>
              <w:rPr>
                <w:rFonts w:ascii="Calibri" w:eastAsia="Calibri" w:hAnsi="Calibri" w:cs="Arial"/>
                <w:color w:val="FF0000"/>
              </w:rPr>
            </w:pPr>
          </w:p>
        </w:tc>
        <w:tc>
          <w:tcPr>
            <w:tcW w:w="1016" w:type="dxa"/>
            <w:tcBorders>
              <w:top w:val="double" w:sz="4" w:space="0" w:color="auto"/>
              <w:left w:val="single" w:sz="4" w:space="0" w:color="auto"/>
              <w:bottom w:val="single" w:sz="4" w:space="0" w:color="auto"/>
              <w:right w:val="single" w:sz="4" w:space="0" w:color="auto"/>
            </w:tcBorders>
            <w:vAlign w:val="bottom"/>
            <w:hideMark/>
          </w:tcPr>
          <w:p w14:paraId="7842045A" w14:textId="77777777" w:rsidR="00E9206F" w:rsidRPr="00F91CFE" w:rsidRDefault="00E9206F" w:rsidP="001415B6">
            <w:pPr>
              <w:rPr>
                <w:rFonts w:ascii="Calibri" w:eastAsia="Calibri" w:hAnsi="Calibri" w:cs="Arial"/>
                <w:color w:val="FF0000"/>
              </w:rPr>
            </w:pPr>
          </w:p>
        </w:tc>
      </w:tr>
      <w:tr w:rsidR="00E9206F" w:rsidRPr="000E4B12" w14:paraId="468C2659" w14:textId="77777777" w:rsidTr="001415B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080AE448" w14:textId="77777777" w:rsidR="00E9206F" w:rsidRPr="000E4B12" w:rsidRDefault="00E9206F" w:rsidP="001415B6">
            <w:pPr>
              <w:spacing w:before="40" w:after="40"/>
              <w:jc w:val="center"/>
              <w:rPr>
                <w:lang w:eastAsia="zh-CN"/>
              </w:rPr>
            </w:pPr>
            <w:r>
              <w:rPr>
                <w:lang w:eastAsia="zh-CN"/>
              </w:rPr>
              <w:t xml:space="preserve">BD </w:t>
            </w:r>
            <w:r w:rsidRPr="000E4B12">
              <w:rPr>
                <w:lang w:eastAsia="zh-CN"/>
              </w:rPr>
              <w:t>Estimate</w:t>
            </w:r>
          </w:p>
        </w:tc>
        <w:tc>
          <w:tcPr>
            <w:tcW w:w="1015" w:type="dxa"/>
            <w:tcBorders>
              <w:top w:val="single" w:sz="4" w:space="0" w:color="auto"/>
              <w:left w:val="double" w:sz="4" w:space="0" w:color="auto"/>
              <w:bottom w:val="single" w:sz="4" w:space="0" w:color="auto"/>
              <w:right w:val="single" w:sz="4" w:space="0" w:color="auto"/>
            </w:tcBorders>
            <w:vAlign w:val="bottom"/>
            <w:hideMark/>
          </w:tcPr>
          <w:p w14:paraId="24E44F76" w14:textId="77777777" w:rsidR="00E9206F" w:rsidRPr="000E4B12" w:rsidRDefault="00E9206F" w:rsidP="001415B6">
            <w:pPr>
              <w:spacing w:before="40" w:after="40"/>
              <w:jc w:val="center"/>
              <w:rPr>
                <w:lang w:val="en-GB" w:eastAsia="zh-CN"/>
              </w:rPr>
            </w:pPr>
            <w:r w:rsidRPr="000E4B12">
              <w:rPr>
                <w:lang w:val="en-GB" w:eastAsia="zh-CN"/>
              </w:rPr>
              <w:t>44</w:t>
            </w:r>
          </w:p>
        </w:tc>
        <w:tc>
          <w:tcPr>
            <w:tcW w:w="1016" w:type="dxa"/>
            <w:tcBorders>
              <w:top w:val="single" w:sz="4" w:space="0" w:color="auto"/>
              <w:left w:val="single" w:sz="4" w:space="0" w:color="auto"/>
              <w:bottom w:val="single" w:sz="4" w:space="0" w:color="auto"/>
              <w:right w:val="single" w:sz="4" w:space="0" w:color="auto"/>
            </w:tcBorders>
            <w:vAlign w:val="bottom"/>
            <w:hideMark/>
          </w:tcPr>
          <w:p w14:paraId="65C92946" w14:textId="77777777" w:rsidR="00E9206F" w:rsidRPr="000E4B12" w:rsidRDefault="00E9206F" w:rsidP="001415B6">
            <w:pPr>
              <w:spacing w:before="40" w:after="40"/>
              <w:jc w:val="center"/>
              <w:rPr>
                <w:lang w:val="en-GB" w:eastAsia="zh-CN"/>
              </w:rPr>
            </w:pPr>
            <w:r w:rsidRPr="000E4B12">
              <w:rPr>
                <w:lang w:val="en-GB" w:eastAsia="zh-CN"/>
              </w:rPr>
              <w:t>34</w:t>
            </w:r>
          </w:p>
        </w:tc>
        <w:tc>
          <w:tcPr>
            <w:tcW w:w="1016" w:type="dxa"/>
            <w:tcBorders>
              <w:top w:val="single" w:sz="4" w:space="0" w:color="auto"/>
              <w:left w:val="single" w:sz="4" w:space="0" w:color="auto"/>
              <w:bottom w:val="single" w:sz="4" w:space="0" w:color="auto"/>
              <w:right w:val="single" w:sz="4" w:space="0" w:color="auto"/>
            </w:tcBorders>
            <w:vAlign w:val="bottom"/>
            <w:hideMark/>
          </w:tcPr>
          <w:p w14:paraId="7141403D" w14:textId="77777777" w:rsidR="00E9206F" w:rsidRPr="000E4B12" w:rsidRDefault="00E9206F" w:rsidP="001415B6">
            <w:pPr>
              <w:spacing w:before="40" w:after="40"/>
              <w:jc w:val="center"/>
              <w:rPr>
                <w:lang w:val="en-GB" w:eastAsia="zh-CN"/>
              </w:rPr>
            </w:pPr>
            <w:r w:rsidRPr="000E4B12">
              <w:rPr>
                <w:lang w:val="en-GB" w:eastAsia="zh-CN"/>
              </w:rPr>
              <w:t>26</w:t>
            </w:r>
          </w:p>
        </w:tc>
        <w:tc>
          <w:tcPr>
            <w:tcW w:w="1015" w:type="dxa"/>
            <w:tcBorders>
              <w:top w:val="single" w:sz="4" w:space="0" w:color="auto"/>
              <w:left w:val="single" w:sz="4" w:space="0" w:color="auto"/>
              <w:bottom w:val="single" w:sz="4" w:space="0" w:color="auto"/>
              <w:right w:val="single" w:sz="4" w:space="0" w:color="auto"/>
            </w:tcBorders>
            <w:vAlign w:val="bottom"/>
            <w:hideMark/>
          </w:tcPr>
          <w:p w14:paraId="6F4A4DE2" w14:textId="77777777" w:rsidR="00E9206F" w:rsidRPr="000E4B12" w:rsidRDefault="00E9206F" w:rsidP="001415B6">
            <w:pPr>
              <w:spacing w:before="40" w:after="40"/>
              <w:jc w:val="center"/>
              <w:rPr>
                <w:lang w:val="en-GB" w:eastAsia="zh-CN"/>
              </w:rPr>
            </w:pPr>
            <w:r w:rsidRPr="000E4B12">
              <w:rPr>
                <w:lang w:val="en-GB" w:eastAsia="zh-CN"/>
              </w:rPr>
              <w:t>20</w:t>
            </w:r>
          </w:p>
        </w:tc>
        <w:tc>
          <w:tcPr>
            <w:tcW w:w="1016" w:type="dxa"/>
            <w:tcBorders>
              <w:top w:val="single" w:sz="4" w:space="0" w:color="auto"/>
              <w:left w:val="single" w:sz="4" w:space="0" w:color="auto"/>
              <w:bottom w:val="single" w:sz="4" w:space="0" w:color="auto"/>
              <w:right w:val="single" w:sz="4" w:space="0" w:color="auto"/>
            </w:tcBorders>
            <w:vAlign w:val="bottom"/>
            <w:hideMark/>
          </w:tcPr>
          <w:p w14:paraId="109ABC55" w14:textId="77777777" w:rsidR="00E9206F" w:rsidRPr="00F91CFE" w:rsidRDefault="00E9206F" w:rsidP="001415B6">
            <w:pPr>
              <w:spacing w:before="40" w:after="40"/>
              <w:jc w:val="center"/>
              <w:rPr>
                <w:color w:val="FF0000"/>
                <w:lang w:val="en-GB" w:eastAsia="zh-CN"/>
              </w:rPr>
            </w:pPr>
            <w:r w:rsidRPr="00F91CFE">
              <w:rPr>
                <w:color w:val="FF0000"/>
                <w:lang w:val="en-GB" w:eastAsia="zh-CN"/>
              </w:rPr>
              <w:t>12</w:t>
            </w:r>
          </w:p>
        </w:tc>
        <w:tc>
          <w:tcPr>
            <w:tcW w:w="1016" w:type="dxa"/>
            <w:tcBorders>
              <w:top w:val="single" w:sz="4" w:space="0" w:color="auto"/>
              <w:left w:val="single" w:sz="4" w:space="0" w:color="auto"/>
              <w:bottom w:val="single" w:sz="4" w:space="0" w:color="auto"/>
              <w:right w:val="single" w:sz="4" w:space="0" w:color="auto"/>
            </w:tcBorders>
            <w:vAlign w:val="bottom"/>
            <w:hideMark/>
          </w:tcPr>
          <w:p w14:paraId="1B37CBA5" w14:textId="77777777" w:rsidR="00E9206F" w:rsidRPr="00F91CFE" w:rsidRDefault="00E9206F" w:rsidP="001415B6">
            <w:pPr>
              <w:spacing w:before="40" w:after="40"/>
              <w:jc w:val="center"/>
              <w:rPr>
                <w:color w:val="FF0000"/>
                <w:lang w:val="en-GB" w:eastAsia="zh-CN"/>
              </w:rPr>
            </w:pPr>
            <w:r w:rsidRPr="00F91CFE">
              <w:rPr>
                <w:color w:val="FF0000"/>
                <w:lang w:val="en-GB" w:eastAsia="zh-CN"/>
              </w:rPr>
              <w:t>9</w:t>
            </w:r>
          </w:p>
        </w:tc>
      </w:tr>
      <w:tr w:rsidR="00E9206F" w:rsidRPr="000E4B12" w14:paraId="427B4618" w14:textId="77777777" w:rsidTr="001415B6">
        <w:trPr>
          <w:trHeight w:val="52"/>
        </w:trPr>
        <w:tc>
          <w:tcPr>
            <w:tcW w:w="1530" w:type="dxa"/>
            <w:tcBorders>
              <w:top w:val="single" w:sz="4" w:space="0" w:color="auto"/>
            </w:tcBorders>
            <w:vAlign w:val="center"/>
          </w:tcPr>
          <w:p w14:paraId="09A80106" w14:textId="77777777" w:rsidR="00E9206F" w:rsidRPr="000E4B12" w:rsidRDefault="00E9206F" w:rsidP="001415B6">
            <w:pPr>
              <w:spacing w:before="40" w:after="40"/>
              <w:jc w:val="center"/>
              <w:rPr>
                <w:sz w:val="4"/>
                <w:szCs w:val="4"/>
                <w:lang w:eastAsia="zh-CN"/>
              </w:rPr>
            </w:pPr>
          </w:p>
        </w:tc>
        <w:tc>
          <w:tcPr>
            <w:tcW w:w="1015" w:type="dxa"/>
            <w:vAlign w:val="bottom"/>
          </w:tcPr>
          <w:p w14:paraId="0D3BEABF" w14:textId="77777777" w:rsidR="00E9206F" w:rsidRPr="000E4B12" w:rsidRDefault="00E9206F" w:rsidP="001415B6">
            <w:pPr>
              <w:spacing w:before="40" w:after="40"/>
              <w:jc w:val="center"/>
              <w:rPr>
                <w:sz w:val="4"/>
                <w:szCs w:val="4"/>
                <w:lang w:val="en-GB" w:eastAsia="zh-CN"/>
              </w:rPr>
            </w:pPr>
          </w:p>
        </w:tc>
        <w:tc>
          <w:tcPr>
            <w:tcW w:w="1016" w:type="dxa"/>
            <w:vAlign w:val="bottom"/>
          </w:tcPr>
          <w:p w14:paraId="4EA95144" w14:textId="77777777" w:rsidR="00E9206F" w:rsidRPr="000E4B12" w:rsidRDefault="00E9206F" w:rsidP="001415B6">
            <w:pPr>
              <w:spacing w:before="40" w:after="40"/>
              <w:jc w:val="center"/>
              <w:rPr>
                <w:sz w:val="4"/>
                <w:szCs w:val="4"/>
                <w:lang w:val="en-GB" w:eastAsia="zh-CN"/>
              </w:rPr>
            </w:pPr>
          </w:p>
        </w:tc>
        <w:tc>
          <w:tcPr>
            <w:tcW w:w="1016" w:type="dxa"/>
            <w:vAlign w:val="bottom"/>
          </w:tcPr>
          <w:p w14:paraId="509F7A2A" w14:textId="77777777" w:rsidR="00E9206F" w:rsidRPr="000E4B12" w:rsidRDefault="00E9206F" w:rsidP="001415B6">
            <w:pPr>
              <w:spacing w:before="40" w:after="40"/>
              <w:jc w:val="center"/>
              <w:rPr>
                <w:sz w:val="4"/>
                <w:szCs w:val="4"/>
                <w:lang w:val="en-GB" w:eastAsia="zh-CN"/>
              </w:rPr>
            </w:pPr>
          </w:p>
        </w:tc>
        <w:tc>
          <w:tcPr>
            <w:tcW w:w="1015" w:type="dxa"/>
            <w:vAlign w:val="bottom"/>
          </w:tcPr>
          <w:p w14:paraId="111E7CA5" w14:textId="77777777" w:rsidR="00E9206F" w:rsidRPr="000E4B12" w:rsidRDefault="00E9206F" w:rsidP="001415B6">
            <w:pPr>
              <w:spacing w:before="40" w:after="40"/>
              <w:jc w:val="center"/>
              <w:rPr>
                <w:sz w:val="4"/>
                <w:szCs w:val="4"/>
                <w:lang w:val="en-GB" w:eastAsia="zh-CN"/>
              </w:rPr>
            </w:pPr>
          </w:p>
        </w:tc>
        <w:tc>
          <w:tcPr>
            <w:tcW w:w="1016" w:type="dxa"/>
            <w:vAlign w:val="bottom"/>
          </w:tcPr>
          <w:p w14:paraId="59A0822F" w14:textId="77777777" w:rsidR="00E9206F" w:rsidRPr="000E4B12" w:rsidRDefault="00E9206F" w:rsidP="001415B6">
            <w:pPr>
              <w:spacing w:before="40" w:after="40"/>
              <w:jc w:val="center"/>
              <w:rPr>
                <w:sz w:val="4"/>
                <w:szCs w:val="4"/>
                <w:lang w:val="en-GB" w:eastAsia="zh-CN"/>
              </w:rPr>
            </w:pPr>
          </w:p>
        </w:tc>
        <w:tc>
          <w:tcPr>
            <w:tcW w:w="1016" w:type="dxa"/>
            <w:vAlign w:val="bottom"/>
          </w:tcPr>
          <w:p w14:paraId="7DAF2069" w14:textId="77777777" w:rsidR="00E9206F" w:rsidRPr="000E4B12" w:rsidRDefault="00E9206F" w:rsidP="001415B6">
            <w:pPr>
              <w:spacing w:before="40" w:after="40"/>
              <w:jc w:val="center"/>
              <w:rPr>
                <w:sz w:val="4"/>
                <w:szCs w:val="4"/>
                <w:lang w:val="en-GB" w:eastAsia="zh-CN"/>
              </w:rPr>
            </w:pPr>
          </w:p>
        </w:tc>
      </w:tr>
      <w:tr w:rsidR="00E9206F" w:rsidRPr="000E4B12" w14:paraId="2E0AF9CD" w14:textId="77777777" w:rsidTr="001415B6">
        <w:trPr>
          <w:trHeight w:val="52"/>
        </w:trPr>
        <w:tc>
          <w:tcPr>
            <w:tcW w:w="1530" w:type="dxa"/>
            <w:tcBorders>
              <w:top w:val="single" w:sz="4" w:space="0" w:color="auto"/>
              <w:left w:val="single" w:sz="4" w:space="0" w:color="auto"/>
              <w:bottom w:val="double" w:sz="4" w:space="0" w:color="auto"/>
              <w:right w:val="double" w:sz="4" w:space="0" w:color="auto"/>
            </w:tcBorders>
            <w:vAlign w:val="center"/>
            <w:hideMark/>
          </w:tcPr>
          <w:p w14:paraId="0E3CDA91" w14:textId="77777777" w:rsidR="00E9206F" w:rsidRPr="000E4B12" w:rsidRDefault="00E9206F" w:rsidP="001415B6">
            <w:pPr>
              <w:spacing w:before="40" w:after="40"/>
              <w:jc w:val="center"/>
              <w:rPr>
                <w:lang w:eastAsia="zh-CN"/>
              </w:rPr>
            </w:pPr>
            <w:r w:rsidRPr="000E4B12">
              <w:rPr>
                <w:lang w:eastAsia="zh-CN"/>
              </w:rPr>
              <w:t>SCS [kHz]</w:t>
            </w:r>
          </w:p>
        </w:tc>
        <w:tc>
          <w:tcPr>
            <w:tcW w:w="2031" w:type="dxa"/>
            <w:gridSpan w:val="2"/>
            <w:tcBorders>
              <w:top w:val="single" w:sz="4" w:space="0" w:color="auto"/>
              <w:left w:val="double" w:sz="4" w:space="0" w:color="auto"/>
              <w:bottom w:val="double" w:sz="4" w:space="0" w:color="auto"/>
              <w:right w:val="single" w:sz="4" w:space="0" w:color="auto"/>
            </w:tcBorders>
            <w:vAlign w:val="center"/>
            <w:hideMark/>
          </w:tcPr>
          <w:p w14:paraId="4F99A9F7" w14:textId="77777777" w:rsidR="00E9206F" w:rsidRPr="000E4B12" w:rsidRDefault="00E9206F" w:rsidP="001415B6">
            <w:pPr>
              <w:spacing w:before="40" w:after="40"/>
              <w:jc w:val="center"/>
              <w:rPr>
                <w:lang w:val="en-GB" w:eastAsia="zh-CN"/>
              </w:rPr>
            </w:pPr>
            <w:r w:rsidRPr="000E4B12">
              <w:rPr>
                <w:lang w:val="en-GB" w:eastAsia="zh-CN"/>
              </w:rPr>
              <w:t>15*2</w:t>
            </w:r>
            <w:r w:rsidRPr="000E4B12">
              <w:rPr>
                <w:vertAlign w:val="superscript"/>
                <w:lang w:val="en-GB" w:eastAsia="zh-CN"/>
              </w:rPr>
              <w:t>0.5</w:t>
            </w:r>
            <w:r>
              <w:rPr>
                <w:lang w:val="en-GB" w:eastAsia="zh-CN"/>
              </w:rPr>
              <w:t xml:space="preserve"> (Nominal, used for fitting)</w:t>
            </w:r>
          </w:p>
        </w:tc>
        <w:tc>
          <w:tcPr>
            <w:tcW w:w="1016" w:type="dxa"/>
            <w:tcBorders>
              <w:top w:val="single" w:sz="4" w:space="0" w:color="auto"/>
              <w:left w:val="single" w:sz="4" w:space="0" w:color="auto"/>
              <w:bottom w:val="double" w:sz="4" w:space="0" w:color="auto"/>
              <w:right w:val="single" w:sz="4" w:space="0" w:color="auto"/>
            </w:tcBorders>
            <w:vAlign w:val="center"/>
            <w:hideMark/>
          </w:tcPr>
          <w:p w14:paraId="551A58E6" w14:textId="77777777" w:rsidR="00E9206F" w:rsidRPr="000E4B12" w:rsidRDefault="00E9206F" w:rsidP="001415B6">
            <w:pPr>
              <w:spacing w:before="40" w:after="40"/>
              <w:jc w:val="center"/>
              <w:rPr>
                <w:lang w:val="en-GB" w:eastAsia="zh-CN"/>
              </w:rPr>
            </w:pPr>
            <w:r w:rsidRPr="000E4B12">
              <w:rPr>
                <w:lang w:val="en-GB" w:eastAsia="zh-CN"/>
              </w:rPr>
              <w:t>60</w:t>
            </w:r>
          </w:p>
        </w:tc>
        <w:tc>
          <w:tcPr>
            <w:tcW w:w="1015" w:type="dxa"/>
            <w:tcBorders>
              <w:top w:val="single" w:sz="4" w:space="0" w:color="auto"/>
              <w:left w:val="single" w:sz="4" w:space="0" w:color="auto"/>
              <w:bottom w:val="double" w:sz="4" w:space="0" w:color="auto"/>
              <w:right w:val="single" w:sz="4" w:space="0" w:color="auto"/>
            </w:tcBorders>
            <w:vAlign w:val="center"/>
            <w:hideMark/>
          </w:tcPr>
          <w:p w14:paraId="6ED1462B" w14:textId="77777777" w:rsidR="00E9206F" w:rsidRPr="000E4B12" w:rsidRDefault="00E9206F" w:rsidP="001415B6">
            <w:pPr>
              <w:spacing w:before="40" w:after="40"/>
              <w:jc w:val="center"/>
              <w:rPr>
                <w:lang w:val="en-GB" w:eastAsia="zh-CN"/>
              </w:rPr>
            </w:pPr>
            <w:r w:rsidRPr="000E4B12">
              <w:rPr>
                <w:lang w:val="en-GB" w:eastAsia="zh-CN"/>
              </w:rPr>
              <w:t>120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6D7DDEEC" w14:textId="77777777" w:rsidR="00E9206F" w:rsidRPr="00F91CFE" w:rsidRDefault="00E9206F" w:rsidP="001415B6">
            <w:pPr>
              <w:spacing w:before="40" w:after="40"/>
              <w:jc w:val="center"/>
              <w:rPr>
                <w:color w:val="FF0000"/>
                <w:lang w:val="en-GB" w:eastAsia="zh-CN"/>
              </w:rPr>
            </w:pPr>
            <w:r w:rsidRPr="00F91CFE">
              <w:rPr>
                <w:color w:val="FF0000"/>
                <w:lang w:val="en-GB" w:eastAsia="zh-CN"/>
              </w:rPr>
              <w:t>480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10DDF4F4" w14:textId="77777777" w:rsidR="00E9206F" w:rsidRPr="00F91CFE" w:rsidRDefault="00E9206F" w:rsidP="001415B6">
            <w:pPr>
              <w:spacing w:before="40" w:after="40"/>
              <w:jc w:val="center"/>
              <w:rPr>
                <w:color w:val="FF0000"/>
                <w:lang w:val="en-GB" w:eastAsia="zh-CN"/>
              </w:rPr>
            </w:pPr>
            <w:r w:rsidRPr="00F91CFE">
              <w:rPr>
                <w:color w:val="FF0000"/>
                <w:lang w:val="en-GB" w:eastAsia="zh-CN"/>
              </w:rPr>
              <w:t>960</w:t>
            </w:r>
          </w:p>
        </w:tc>
      </w:tr>
      <w:tr w:rsidR="00E9206F" w:rsidRPr="000E4B12" w14:paraId="17D70B4B" w14:textId="77777777" w:rsidTr="001415B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761DFA0C" w14:textId="77777777" w:rsidR="00E9206F" w:rsidRPr="000E4B12" w:rsidRDefault="00AC177F" w:rsidP="001415B6">
            <w:pPr>
              <w:spacing w:before="40" w:after="40"/>
              <w:jc w:val="center"/>
              <w:rPr>
                <w:lang w:val="de-DE" w:eastAsia="zh-CN"/>
              </w:rPr>
            </w:pPr>
            <m:oMathPara>
              <m:oMath>
                <m:sSubSup>
                  <m:sSubSupPr>
                    <m:ctrlPr>
                      <w:rPr>
                        <w:rFonts w:ascii="Cambria Math" w:hAnsi="Cambria Math"/>
                        <w:i/>
                        <w:iCs/>
                        <w:lang w:eastAsia="zh-CN"/>
                      </w:rPr>
                    </m:ctrlPr>
                  </m:sSubSupPr>
                  <m:e>
                    <m:r>
                      <w:rPr>
                        <w:rFonts w:ascii="Cambria Math" w:hAnsi="Cambria Math"/>
                        <w:lang w:val="de-DE" w:eastAsia="zh-CN"/>
                      </w:rPr>
                      <m:t>N</m:t>
                    </m:r>
                  </m:e>
                  <m:sub>
                    <m:r>
                      <m:rPr>
                        <m:sty m:val="p"/>
                      </m:rPr>
                      <w:rPr>
                        <w:rFonts w:ascii="Cambria Math" w:hAnsi="Cambria Math"/>
                        <w:lang w:val="de-DE" w:eastAsia="zh-CN"/>
                      </w:rPr>
                      <m:t>CCE,μ</m:t>
                    </m:r>
                  </m:sub>
                  <m:sup>
                    <m:r>
                      <m:rPr>
                        <m:sty m:val="p"/>
                      </m:rPr>
                      <w:rPr>
                        <w:rFonts w:ascii="Cambria Math" w:hAnsi="Cambria Math"/>
                        <w:lang w:val="de-DE" w:eastAsia="zh-CN"/>
                      </w:rPr>
                      <m:t>slot</m:t>
                    </m:r>
                  </m:sup>
                </m:sSubSup>
              </m:oMath>
            </m:oMathPara>
          </w:p>
        </w:tc>
        <w:tc>
          <w:tcPr>
            <w:tcW w:w="2031" w:type="dxa"/>
            <w:gridSpan w:val="2"/>
            <w:tcBorders>
              <w:top w:val="single" w:sz="4" w:space="0" w:color="auto"/>
              <w:left w:val="double" w:sz="4" w:space="0" w:color="auto"/>
              <w:bottom w:val="single" w:sz="4" w:space="0" w:color="auto"/>
              <w:right w:val="single" w:sz="4" w:space="0" w:color="auto"/>
            </w:tcBorders>
            <w:vAlign w:val="center"/>
            <w:hideMark/>
          </w:tcPr>
          <w:p w14:paraId="770E909F" w14:textId="77777777" w:rsidR="00E9206F" w:rsidRPr="000E4B12" w:rsidRDefault="00E9206F" w:rsidP="001415B6">
            <w:pPr>
              <w:spacing w:before="40" w:after="40"/>
              <w:jc w:val="center"/>
              <w:rPr>
                <w:b/>
                <w:bCs/>
                <w:lang w:val="en-GB" w:eastAsia="zh-CN"/>
              </w:rPr>
            </w:pPr>
            <w:r w:rsidRPr="000E4B12">
              <w:rPr>
                <w:b/>
                <w:bCs/>
                <w:lang w:val="en-GB" w:eastAsia="zh-CN"/>
              </w:rPr>
              <w:t>56</w:t>
            </w:r>
          </w:p>
        </w:tc>
        <w:tc>
          <w:tcPr>
            <w:tcW w:w="1016" w:type="dxa"/>
            <w:tcBorders>
              <w:top w:val="single" w:sz="4" w:space="0" w:color="auto"/>
              <w:left w:val="single" w:sz="4" w:space="0" w:color="auto"/>
              <w:bottom w:val="single" w:sz="4" w:space="0" w:color="auto"/>
              <w:right w:val="single" w:sz="4" w:space="0" w:color="auto"/>
            </w:tcBorders>
            <w:vAlign w:val="bottom"/>
            <w:hideMark/>
          </w:tcPr>
          <w:p w14:paraId="04CF241E" w14:textId="77777777" w:rsidR="00E9206F" w:rsidRPr="000E4B12" w:rsidRDefault="00E9206F" w:rsidP="001415B6">
            <w:pPr>
              <w:spacing w:before="40" w:after="40"/>
              <w:jc w:val="center"/>
              <w:rPr>
                <w:b/>
                <w:bCs/>
                <w:lang w:val="en-GB" w:eastAsia="zh-CN"/>
              </w:rPr>
            </w:pPr>
            <w:r w:rsidRPr="000E4B12">
              <w:rPr>
                <w:b/>
                <w:bCs/>
                <w:lang w:val="en-GB" w:eastAsia="zh-CN"/>
              </w:rPr>
              <w:t>48</w:t>
            </w:r>
          </w:p>
        </w:tc>
        <w:tc>
          <w:tcPr>
            <w:tcW w:w="1015" w:type="dxa"/>
            <w:tcBorders>
              <w:top w:val="single" w:sz="4" w:space="0" w:color="auto"/>
              <w:left w:val="single" w:sz="4" w:space="0" w:color="auto"/>
              <w:bottom w:val="single" w:sz="4" w:space="0" w:color="auto"/>
              <w:right w:val="single" w:sz="4" w:space="0" w:color="auto"/>
            </w:tcBorders>
            <w:vAlign w:val="bottom"/>
            <w:hideMark/>
          </w:tcPr>
          <w:p w14:paraId="19A94C39" w14:textId="77777777" w:rsidR="00E9206F" w:rsidRPr="000E4B12" w:rsidRDefault="00E9206F" w:rsidP="001415B6">
            <w:pPr>
              <w:spacing w:before="40" w:after="40"/>
              <w:jc w:val="center"/>
              <w:rPr>
                <w:b/>
                <w:bCs/>
                <w:lang w:val="en-GB" w:eastAsia="zh-CN"/>
              </w:rPr>
            </w:pPr>
            <w:r w:rsidRPr="000E4B12">
              <w:rPr>
                <w:b/>
                <w:bCs/>
                <w:lang w:val="en-GB" w:eastAsia="zh-CN"/>
              </w:rPr>
              <w:t>32</w:t>
            </w:r>
          </w:p>
        </w:tc>
        <w:tc>
          <w:tcPr>
            <w:tcW w:w="1016" w:type="dxa"/>
            <w:tcBorders>
              <w:top w:val="single" w:sz="4" w:space="0" w:color="auto"/>
              <w:left w:val="single" w:sz="4" w:space="0" w:color="auto"/>
              <w:bottom w:val="single" w:sz="4" w:space="0" w:color="auto"/>
              <w:right w:val="single" w:sz="4" w:space="0" w:color="auto"/>
            </w:tcBorders>
            <w:vAlign w:val="bottom"/>
          </w:tcPr>
          <w:p w14:paraId="0EDDD876" w14:textId="77777777" w:rsidR="00E9206F" w:rsidRPr="00F91CFE" w:rsidRDefault="00E9206F" w:rsidP="001415B6">
            <w:pPr>
              <w:spacing w:before="40" w:after="40"/>
              <w:jc w:val="center"/>
              <w:rPr>
                <w:color w:val="FF0000"/>
                <w:lang w:val="en-GB" w:eastAsia="zh-CN"/>
              </w:rPr>
            </w:pPr>
          </w:p>
        </w:tc>
        <w:tc>
          <w:tcPr>
            <w:tcW w:w="1016" w:type="dxa"/>
            <w:tcBorders>
              <w:top w:val="single" w:sz="4" w:space="0" w:color="auto"/>
              <w:left w:val="single" w:sz="4" w:space="0" w:color="auto"/>
              <w:bottom w:val="single" w:sz="4" w:space="0" w:color="auto"/>
              <w:right w:val="single" w:sz="4" w:space="0" w:color="auto"/>
            </w:tcBorders>
            <w:vAlign w:val="bottom"/>
          </w:tcPr>
          <w:p w14:paraId="6FC5F1B8" w14:textId="77777777" w:rsidR="00E9206F" w:rsidRPr="00F91CFE" w:rsidRDefault="00E9206F" w:rsidP="001415B6">
            <w:pPr>
              <w:spacing w:before="40" w:after="40"/>
              <w:jc w:val="center"/>
              <w:rPr>
                <w:color w:val="FF0000"/>
                <w:lang w:val="en-GB" w:eastAsia="zh-CN"/>
              </w:rPr>
            </w:pPr>
          </w:p>
        </w:tc>
      </w:tr>
      <w:tr w:rsidR="00E9206F" w:rsidRPr="000E4B12" w14:paraId="61ACE726" w14:textId="77777777" w:rsidTr="001415B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2FD90201" w14:textId="77777777" w:rsidR="00E9206F" w:rsidRPr="000E4B12" w:rsidRDefault="00E9206F" w:rsidP="001415B6">
            <w:pPr>
              <w:spacing w:before="40" w:after="40"/>
              <w:jc w:val="center"/>
              <w:rPr>
                <w:i/>
                <w:color w:val="000000"/>
                <w:lang w:val="en-GB" w:eastAsia="zh-CN"/>
              </w:rPr>
            </w:pPr>
            <w:r>
              <w:rPr>
                <w:lang w:eastAsia="zh-CN"/>
              </w:rPr>
              <w:t xml:space="preserve">CCE </w:t>
            </w:r>
            <w:r w:rsidRPr="000E4B12">
              <w:rPr>
                <w:lang w:eastAsia="zh-CN"/>
              </w:rPr>
              <w:t>Estimate</w:t>
            </w:r>
          </w:p>
        </w:tc>
        <w:tc>
          <w:tcPr>
            <w:tcW w:w="2031" w:type="dxa"/>
            <w:gridSpan w:val="2"/>
            <w:tcBorders>
              <w:top w:val="single" w:sz="4" w:space="0" w:color="auto"/>
              <w:left w:val="double" w:sz="4" w:space="0" w:color="auto"/>
              <w:bottom w:val="single" w:sz="4" w:space="0" w:color="auto"/>
              <w:right w:val="single" w:sz="4" w:space="0" w:color="auto"/>
            </w:tcBorders>
            <w:vAlign w:val="bottom"/>
            <w:hideMark/>
          </w:tcPr>
          <w:p w14:paraId="332EBE53" w14:textId="77777777" w:rsidR="00E9206F" w:rsidRPr="000E4B12" w:rsidRDefault="00E9206F" w:rsidP="001415B6">
            <w:pPr>
              <w:spacing w:before="40" w:after="40"/>
              <w:jc w:val="center"/>
              <w:rPr>
                <w:lang w:val="en-GB" w:eastAsia="zh-CN"/>
              </w:rPr>
            </w:pPr>
            <w:r w:rsidRPr="000E4B12">
              <w:rPr>
                <w:lang w:val="en-GB" w:eastAsia="zh-CN"/>
              </w:rPr>
              <w:t>56</w:t>
            </w:r>
          </w:p>
        </w:tc>
        <w:tc>
          <w:tcPr>
            <w:tcW w:w="1016" w:type="dxa"/>
            <w:tcBorders>
              <w:top w:val="single" w:sz="4" w:space="0" w:color="auto"/>
              <w:left w:val="single" w:sz="4" w:space="0" w:color="auto"/>
              <w:bottom w:val="single" w:sz="4" w:space="0" w:color="auto"/>
              <w:right w:val="single" w:sz="4" w:space="0" w:color="auto"/>
            </w:tcBorders>
            <w:vAlign w:val="bottom"/>
            <w:hideMark/>
          </w:tcPr>
          <w:p w14:paraId="23484774" w14:textId="77777777" w:rsidR="00E9206F" w:rsidRPr="000E4B12" w:rsidRDefault="00E9206F" w:rsidP="001415B6">
            <w:pPr>
              <w:spacing w:before="40" w:after="40"/>
              <w:jc w:val="center"/>
              <w:rPr>
                <w:lang w:val="en-GB" w:eastAsia="zh-CN"/>
              </w:rPr>
            </w:pPr>
            <w:r w:rsidRPr="000E4B12">
              <w:rPr>
                <w:lang w:val="en-GB" w:eastAsia="zh-CN"/>
              </w:rPr>
              <w:t>40</w:t>
            </w:r>
          </w:p>
        </w:tc>
        <w:tc>
          <w:tcPr>
            <w:tcW w:w="1015" w:type="dxa"/>
            <w:tcBorders>
              <w:top w:val="single" w:sz="4" w:space="0" w:color="auto"/>
              <w:left w:val="single" w:sz="4" w:space="0" w:color="auto"/>
              <w:bottom w:val="single" w:sz="4" w:space="0" w:color="auto"/>
              <w:right w:val="single" w:sz="4" w:space="0" w:color="auto"/>
            </w:tcBorders>
            <w:vAlign w:val="bottom"/>
            <w:hideMark/>
          </w:tcPr>
          <w:p w14:paraId="26E9E3B1" w14:textId="77777777" w:rsidR="00E9206F" w:rsidRPr="000E4B12" w:rsidRDefault="00E9206F" w:rsidP="001415B6">
            <w:pPr>
              <w:spacing w:before="40" w:after="40"/>
              <w:jc w:val="center"/>
              <w:rPr>
                <w:lang w:val="en-GB" w:eastAsia="zh-CN"/>
              </w:rPr>
            </w:pPr>
            <w:r w:rsidRPr="000E4B12">
              <w:rPr>
                <w:lang w:val="en-GB" w:eastAsia="zh-CN"/>
              </w:rPr>
              <w:t>32</w:t>
            </w:r>
          </w:p>
        </w:tc>
        <w:tc>
          <w:tcPr>
            <w:tcW w:w="1016" w:type="dxa"/>
            <w:tcBorders>
              <w:top w:val="single" w:sz="4" w:space="0" w:color="auto"/>
              <w:left w:val="single" w:sz="4" w:space="0" w:color="auto"/>
              <w:bottom w:val="single" w:sz="4" w:space="0" w:color="auto"/>
              <w:right w:val="single" w:sz="4" w:space="0" w:color="auto"/>
            </w:tcBorders>
            <w:vAlign w:val="bottom"/>
            <w:hideMark/>
          </w:tcPr>
          <w:p w14:paraId="75D0B9C4" w14:textId="77777777" w:rsidR="00E9206F" w:rsidRPr="00F91CFE" w:rsidRDefault="00E9206F" w:rsidP="001415B6">
            <w:pPr>
              <w:spacing w:before="40" w:after="40"/>
              <w:jc w:val="center"/>
              <w:rPr>
                <w:color w:val="FF0000"/>
                <w:lang w:val="en-GB" w:eastAsia="zh-CN"/>
              </w:rPr>
            </w:pPr>
            <w:r w:rsidRPr="00F91CFE">
              <w:rPr>
                <w:color w:val="FF0000"/>
                <w:lang w:val="en-GB" w:eastAsia="zh-CN"/>
              </w:rPr>
              <w:t>20</w:t>
            </w:r>
          </w:p>
        </w:tc>
        <w:tc>
          <w:tcPr>
            <w:tcW w:w="1016" w:type="dxa"/>
            <w:tcBorders>
              <w:top w:val="single" w:sz="4" w:space="0" w:color="auto"/>
              <w:left w:val="single" w:sz="4" w:space="0" w:color="auto"/>
              <w:bottom w:val="single" w:sz="4" w:space="0" w:color="auto"/>
              <w:right w:val="single" w:sz="4" w:space="0" w:color="auto"/>
            </w:tcBorders>
            <w:vAlign w:val="bottom"/>
            <w:hideMark/>
          </w:tcPr>
          <w:p w14:paraId="63738472" w14:textId="77777777" w:rsidR="00E9206F" w:rsidRPr="00F91CFE" w:rsidRDefault="00E9206F" w:rsidP="001415B6">
            <w:pPr>
              <w:spacing w:before="40" w:after="40"/>
              <w:jc w:val="center"/>
              <w:rPr>
                <w:color w:val="FF0000"/>
                <w:lang w:val="en-GB" w:eastAsia="zh-CN"/>
              </w:rPr>
            </w:pPr>
            <w:r w:rsidRPr="00F91CFE">
              <w:rPr>
                <w:color w:val="FF0000"/>
                <w:lang w:val="en-GB" w:eastAsia="zh-CN"/>
              </w:rPr>
              <w:t>16</w:t>
            </w:r>
          </w:p>
        </w:tc>
      </w:tr>
    </w:tbl>
    <w:p w14:paraId="564B6029" w14:textId="77777777" w:rsidR="00E9206F" w:rsidRDefault="00E9206F" w:rsidP="00591A94">
      <w:pPr>
        <w:pStyle w:val="BodyText"/>
      </w:pPr>
    </w:p>
    <w:p w14:paraId="472CD129" w14:textId="24D630F1" w:rsidR="00827AE2" w:rsidRDefault="00827AE2" w:rsidP="00827AE2">
      <w:pPr>
        <w:pStyle w:val="Heading3"/>
      </w:pPr>
      <w:bookmarkStart w:id="41" w:name="_Toc67653046"/>
      <w:r>
        <w:t>2.3.</w:t>
      </w:r>
      <w:r w:rsidR="008B04EA">
        <w:t>2</w:t>
      </w:r>
      <w:r>
        <w:tab/>
        <w:t>Multi-slot PDCCH processing capabilities for 480/960 kHz SCS</w:t>
      </w:r>
      <w:bookmarkEnd w:id="41"/>
    </w:p>
    <w:p w14:paraId="509D740A" w14:textId="661C55D6" w:rsidR="00E20643" w:rsidRDefault="00E20643" w:rsidP="00E20643">
      <w:pPr>
        <w:pStyle w:val="BodyText"/>
      </w:pPr>
      <w:r>
        <w:t>In this section, we discuss two possible solutions to define bundled UE PDCCH processing capabilities when PDCCH monitoring per multiple slots is deployed.</w:t>
      </w:r>
    </w:p>
    <w:p w14:paraId="3C0C806B" w14:textId="77777777" w:rsidR="00290688" w:rsidRPr="000E4B12" w:rsidRDefault="00290688" w:rsidP="00290688">
      <w:pPr>
        <w:pStyle w:val="BodyText"/>
      </w:pPr>
      <w:r>
        <w:t xml:space="preserve">The potential reduction of </w:t>
      </w:r>
      <w:r w:rsidRPr="000E4B12">
        <w:t xml:space="preserve">UE PDCCH processing capabilities </w:t>
      </w:r>
      <w:r w:rsidRPr="004F69A1">
        <w:rPr>
          <w:u w:val="single"/>
        </w:rPr>
        <w:t>per slot</w:t>
      </w:r>
      <w:r>
        <w:t xml:space="preserve"> shown previously presents difficulties to maintain the same scheduling framework and flexibility as Rel-15 NR. It would impose substantial negative impacts to Rel-17 NR operation in 52.6 – 71 GHz if the </w:t>
      </w:r>
      <w:r w:rsidRPr="000E4B12">
        <w:t xml:space="preserve">UE PDCCH processing capabilities </w:t>
      </w:r>
      <w:r w:rsidRPr="00D7654C">
        <w:rPr>
          <w:u w:val="single"/>
        </w:rPr>
        <w:t xml:space="preserve">per </w:t>
      </w:r>
      <w:r>
        <w:rPr>
          <w:u w:val="single"/>
        </w:rPr>
        <w:t>multi-</w:t>
      </w:r>
      <w:r w:rsidRPr="00D7654C">
        <w:rPr>
          <w:u w:val="single"/>
        </w:rPr>
        <w:t>slot</w:t>
      </w:r>
      <w:r>
        <w:rPr>
          <w:u w:val="single"/>
        </w:rPr>
        <w:t xml:space="preserve"> </w:t>
      </w:r>
      <w:r w:rsidRPr="004F69A1">
        <w:t xml:space="preserve">monitoring period </w:t>
      </w:r>
      <w:r>
        <w:t xml:space="preserve">remain as restrictive when the UE is configured to monitor the PDCCH every </w:t>
      </w:r>
      <m:oMath>
        <m:r>
          <w:rPr>
            <w:rFonts w:ascii="Cambria Math" w:hAnsi="Cambria Math"/>
          </w:rPr>
          <m:t>B</m:t>
        </m:r>
      </m:oMath>
      <w:r>
        <w:t xml:space="preserve"> slots. Therefore, it will be beneficial for NR operation in 52.6 – 71 GHz to scale </w:t>
      </w:r>
      <w:r w:rsidRPr="000E4B12">
        <w:t>UE PDCCH processing capabilities</w:t>
      </w:r>
      <w:r>
        <w:t xml:space="preserve"> </w:t>
      </w:r>
      <w:r w:rsidRPr="004F69A1">
        <w:t xml:space="preserve">per </w:t>
      </w:r>
      <m:oMath>
        <m:r>
          <w:rPr>
            <w:rFonts w:ascii="Cambria Math" w:hAnsi="Cambria Math"/>
          </w:rPr>
          <m:t>B</m:t>
        </m:r>
      </m:oMath>
      <w:r>
        <w:rPr>
          <w:rFonts w:eastAsiaTheme="minorEastAsia"/>
        </w:rPr>
        <w:t>-slots</w:t>
      </w:r>
      <w:r w:rsidRPr="00D7654C">
        <w:t xml:space="preserve"> </w:t>
      </w:r>
      <w:r>
        <w:t>with the bundle size B:</w:t>
      </w:r>
    </w:p>
    <w:p w14:paraId="46A761E3" w14:textId="77777777" w:rsidR="00290688" w:rsidRPr="006249E3" w:rsidRDefault="00AC177F" w:rsidP="00290688">
      <w:pPr>
        <w:pStyle w:val="BodyText"/>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BD</m:t>
              </m:r>
              <m:r>
                <m:rPr>
                  <m:sty m:val="p"/>
                </m:rPr>
                <w:rPr>
                  <w:rFonts w:ascii="Cambria Math" w:hAnsi="Cambria Math" w:cs="Times New Roman"/>
                </w:rPr>
                <m:t>, μ</m:t>
              </m:r>
            </m:sub>
            <m:sup>
              <m:r>
                <w:rPr>
                  <w:rFonts w:ascii="Cambria Math" w:hAnsi="Cambria Math" w:cs="Times New Roman"/>
                </w:rPr>
                <m:t>B</m:t>
              </m:r>
              <m:r>
                <m:rPr>
                  <m:nor/>
                </m:rPr>
                <w:rPr>
                  <w:rFonts w:ascii="Cambria Math" w:hAnsi="Cambria Math" w:cs="Times New Roman"/>
                </w:rPr>
                <m:t>-</m:t>
              </m:r>
              <m:r>
                <m:rPr>
                  <m:sty m:val="p"/>
                </m:rPr>
                <w:rPr>
                  <w:rFonts w:ascii="Cambria Math" w:hAnsi="Cambria Math"/>
                </w:rPr>
                <m:t>slot</m:t>
              </m:r>
            </m:sup>
          </m:sSubSup>
          <m:r>
            <w:rPr>
              <w:rFonts w:ascii="Cambria Math" w:hAnsi="Cambria Math"/>
            </w:rPr>
            <m:t>≅B×</m:t>
          </m:r>
          <m:sSubSup>
            <m:sSubSupPr>
              <m:ctrlPr>
                <w:rPr>
                  <w:rFonts w:ascii="Cambria Math" w:hAnsi="Cambria Math"/>
                </w:rPr>
              </m:ctrlPr>
            </m:sSubSupPr>
            <m:e>
              <m:r>
                <w:rPr>
                  <w:rFonts w:ascii="Cambria Math" w:hAnsi="Cambria Math"/>
                </w:rPr>
                <m:t>N</m:t>
              </m:r>
            </m:e>
            <m:sub>
              <m:r>
                <m:rPr>
                  <m:sty m:val="p"/>
                </m:rPr>
                <w:rPr>
                  <w:rFonts w:ascii="Cambria Math" w:hAnsi="Cambria Math"/>
                </w:rPr>
                <m:t>BD</m:t>
              </m:r>
              <m:r>
                <m:rPr>
                  <m:sty m:val="p"/>
                </m:rPr>
                <w:rPr>
                  <w:rFonts w:ascii="Cambria Math" w:hAnsi="Cambria Math" w:cs="Times New Roman"/>
                </w:rPr>
                <m:t>, μ</m:t>
              </m:r>
            </m:sub>
            <m:sup>
              <m:r>
                <m:rPr>
                  <m:sty m:val="p"/>
                </m:rPr>
                <w:rPr>
                  <w:rFonts w:ascii="Cambria Math" w:hAnsi="Cambria Math"/>
                </w:rPr>
                <m:t>slot</m:t>
              </m:r>
            </m:sup>
          </m:sSubSup>
        </m:oMath>
      </m:oMathPara>
    </w:p>
    <w:p w14:paraId="1E631337" w14:textId="77777777" w:rsidR="00290688" w:rsidRPr="006249E3" w:rsidRDefault="00AC177F" w:rsidP="00290688">
      <w:pPr>
        <w:pStyle w:val="BodyText"/>
        <w:rPr>
          <w:rFonts w:eastAsiaTheme="minorEastAsia"/>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p"/>
                </m:rPr>
                <w:rPr>
                  <w:rFonts w:ascii="Cambria Math" w:hAnsi="Cambria Math" w:cs="Times New Roman"/>
                </w:rPr>
                <m:t>, μ</m:t>
              </m:r>
            </m:sub>
            <m:sup>
              <m:r>
                <w:rPr>
                  <w:rFonts w:ascii="Cambria Math" w:hAnsi="Cambria Math" w:cs="Times New Roman"/>
                </w:rPr>
                <m:t>B</m:t>
              </m:r>
              <m:r>
                <m:rPr>
                  <m:nor/>
                </m:rPr>
                <w:rPr>
                  <w:rFonts w:ascii="Cambria Math" w:hAnsi="Cambria Math" w:cs="Times New Roman"/>
                </w:rPr>
                <m:t>-</m:t>
              </m:r>
              <m:r>
                <m:rPr>
                  <m:sty m:val="p"/>
                </m:rPr>
                <w:rPr>
                  <w:rFonts w:ascii="Cambria Math" w:hAnsi="Cambria Math"/>
                </w:rPr>
                <m:t>slot</m:t>
              </m:r>
            </m:sup>
          </m:sSubSup>
          <m:r>
            <m:rPr>
              <m:sty m:val="p"/>
            </m:rPr>
            <w:rPr>
              <w:rFonts w:ascii="Cambria Math" w:hAnsi="Cambria Math"/>
            </w:rPr>
            <m:t>≅</m:t>
          </m:r>
          <m:r>
            <w:rPr>
              <w:rFonts w:ascii="Cambria Math" w:hAnsi="Cambria Math"/>
            </w:rPr>
            <m:t>B</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p"/>
                </m:rPr>
                <w:rPr>
                  <w:rFonts w:ascii="Cambria Math" w:hAnsi="Cambria Math" w:cs="Times New Roman"/>
                </w:rPr>
                <m:t>, μ</m:t>
              </m:r>
            </m:sub>
            <m:sup>
              <m:r>
                <m:rPr>
                  <m:sty m:val="p"/>
                </m:rPr>
                <w:rPr>
                  <w:rFonts w:ascii="Cambria Math" w:hAnsi="Cambria Math"/>
                </w:rPr>
                <m:t>slot</m:t>
              </m:r>
            </m:sup>
          </m:sSubSup>
        </m:oMath>
      </m:oMathPara>
    </w:p>
    <w:p w14:paraId="3C4AE6ED" w14:textId="77777777" w:rsidR="00290688" w:rsidRDefault="00290688" w:rsidP="00290688">
      <w:pPr>
        <w:pStyle w:val="Proposal"/>
        <w:tabs>
          <w:tab w:val="num" w:pos="1304"/>
        </w:tabs>
        <w:overflowPunct w:val="0"/>
        <w:autoSpaceDE w:val="0"/>
        <w:autoSpaceDN w:val="0"/>
        <w:adjustRightInd w:val="0"/>
        <w:spacing w:line="240" w:lineRule="auto"/>
        <w:ind w:left="1304" w:hanging="1304"/>
        <w:textAlignment w:val="baseline"/>
      </w:pPr>
      <w:bookmarkStart w:id="42" w:name="_Toc53776234"/>
      <w:bookmarkStart w:id="43" w:name="_Toc68183793"/>
      <w:r>
        <w:t xml:space="preserve">A first approach to define the UE PDCCH processing capabilities when PDCCH monitoring per multiple slots is deployed for larger SCS is to scale the </w:t>
      </w:r>
      <w:r w:rsidRPr="000E4B12">
        <w:t>UE PDCCH processing capabilities</w:t>
      </w:r>
      <w:r>
        <w:t xml:space="preserve"> per </w:t>
      </w:r>
      <m:oMath>
        <m:r>
          <m:rPr>
            <m:sty m:val="bi"/>
          </m:rPr>
          <w:rPr>
            <w:rFonts w:ascii="Cambria Math" w:hAnsi="Cambria Math"/>
          </w:rPr>
          <m:t>B</m:t>
        </m:r>
      </m:oMath>
      <w:r>
        <w:rPr>
          <w:rFonts w:eastAsiaTheme="minorEastAsia"/>
        </w:rPr>
        <w:t xml:space="preserve"> </w:t>
      </w:r>
      <w:r>
        <w:t>slots with the bundle size B.</w:t>
      </w:r>
      <w:bookmarkEnd w:id="42"/>
      <w:r>
        <w:t xml:space="preserve"> That is, the bundled UE PDCCH processing capabilities are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i"/>
          </m:rPr>
          <w:rPr>
            <w:rFonts w:ascii="Cambria Math" w:hAnsi="Cambria Math"/>
          </w:rPr>
          <m:t>≅B×</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 xml:space="preserve"> and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
          </m:rPr>
          <w:rPr>
            <w:rFonts w:ascii="Cambria Math" w:hAnsi="Cambria Math"/>
          </w:rPr>
          <m:t>≅</m:t>
        </m:r>
        <m:r>
          <m:rPr>
            <m:sty m:val="bi"/>
          </m:rPr>
          <w:rPr>
            <w:rFonts w:ascii="Cambria Math" w:hAnsi="Cambria Math"/>
          </w:rPr>
          <m:t>B</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w:t>
      </w:r>
      <w:bookmarkEnd w:id="43"/>
    </w:p>
    <w:p w14:paraId="5B03ABF5" w14:textId="77777777" w:rsidR="00C637FF" w:rsidRDefault="00C637FF" w:rsidP="00E20643">
      <w:pPr>
        <w:pStyle w:val="BodyText"/>
      </w:pPr>
    </w:p>
    <w:p w14:paraId="2CCB6DE7" w14:textId="5EFAEA84" w:rsidR="00E20643" w:rsidRDefault="00E20643" w:rsidP="00E20643">
      <w:pPr>
        <w:pStyle w:val="BodyText"/>
      </w:pPr>
      <w:r>
        <w:t xml:space="preserve">With this first capability scaling solution, it is in principle possible to support any bundle size. However, it may be difficult or impractical </w:t>
      </w:r>
      <w:r w:rsidRPr="00D079BD">
        <w:t>for UE implementation to optimize the hardware and software timelines to support</w:t>
      </w:r>
      <w:r>
        <w:t xml:space="preserve"> various required UE processing capabilities associated with arbitrary flexible bundle sizes. It will be beneficial for RAN1 to narrow down the bundle size values to those beneficial to system operations such that the specs and implementation are not over-burdened.</w:t>
      </w:r>
    </w:p>
    <w:p w14:paraId="0D80BCC9" w14:textId="77777777" w:rsidR="00294F9D" w:rsidRDefault="00294F9D" w:rsidP="00294F9D">
      <w:pPr>
        <w:pStyle w:val="BodyText"/>
      </w:pPr>
      <w:r>
        <w:t xml:space="preserve">Toward narrowing down the supported PDCCH monitoring bundle values, a second possible solution is to maintain the same </w:t>
      </w:r>
      <w:r w:rsidRPr="00801782">
        <w:t>scheduling framework</w:t>
      </w:r>
      <w:r>
        <w:t xml:space="preserve"> and capacity as a 120 kHz SCS system for larger SCS with PDCCH monitoring per multiple slots. For instance, PDCCH monitoring every </w:t>
      </w:r>
      <m:oMath>
        <m:r>
          <w:rPr>
            <w:rFonts w:ascii="Cambria Math" w:hAnsi="Cambria Math"/>
          </w:rPr>
          <m:t>B=4</m:t>
        </m:r>
      </m:oMath>
      <w:r>
        <w:rPr>
          <w:rFonts w:eastAsiaTheme="minorEastAsia"/>
        </w:rPr>
        <w:t xml:space="preserve"> slots can be deployed for 480 kHz SCS. The UE</w:t>
      </w:r>
      <w:r w:rsidRPr="000E4B12">
        <w:t xml:space="preserve"> PDCCH processing capabilities</w:t>
      </w:r>
      <w:r>
        <w:t xml:space="preserve"> per 4-slot monitoring bundle can then be defined as</w:t>
      </w:r>
    </w:p>
    <w:p w14:paraId="1ED7240B" w14:textId="77777777" w:rsidR="00294F9D" w:rsidRPr="006249E3" w:rsidRDefault="00AC177F" w:rsidP="00294F9D">
      <w:pPr>
        <w:pStyle w:val="BodyText"/>
      </w:pPr>
      <m:oMathPara>
        <m:oMathParaPr>
          <m:jc m:val="centerGroup"/>
        </m:oMathPara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BD, </m:t>
              </m:r>
              <m:r>
                <w:rPr>
                  <w:rFonts w:ascii="Cambria Math" w:hAnsi="Cambria Math" w:cs="Times New Roman"/>
                </w:rPr>
                <m:t>μ</m:t>
              </m:r>
              <m:r>
                <m:rPr>
                  <m:sty m:val="p"/>
                </m:rPr>
                <w:rPr>
                  <w:rFonts w:ascii="Cambria Math" w:hAnsi="Cambria Math" w:cs="Times New Roman"/>
                </w:rPr>
                <m:t>=5</m:t>
              </m:r>
            </m:sub>
            <m:sup>
              <m:r>
                <m:rPr>
                  <m:sty m:val="p"/>
                </m:rPr>
                <w:rPr>
                  <w:rFonts w:ascii="Cambria Math" w:hAnsi="Cambria Math" w:cs="Times New Roman"/>
                </w:rPr>
                <m:t>4</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cs="Times New Roman"/>
                </w:rPr>
                <m:t>slot</m:t>
              </m:r>
            </m:sup>
          </m:sSubSup>
        </m:oMath>
      </m:oMathPara>
    </w:p>
    <w:p w14:paraId="3E8E763D" w14:textId="77777777" w:rsidR="00294F9D" w:rsidRPr="006249E3" w:rsidRDefault="00AC177F" w:rsidP="00294F9D">
      <w:pPr>
        <w:pStyle w:val="BodyText"/>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=5</m:t>
              </m:r>
            </m:sub>
            <m:sup>
              <m:r>
                <m:rPr>
                  <m:sty m:val="p"/>
                </m:rPr>
                <w:rPr>
                  <w:rFonts w:ascii="Cambria Math" w:hAnsi="Cambria Math"/>
                </w:rPr>
                <m:t>4</m:t>
              </m:r>
              <m:r>
                <m:rPr>
                  <m:nor/>
                </m:rPr>
                <w:rPr>
                  <w:rFonts w:ascii="Cambria Math" w:hAnsi="Cambria Math" w:cs="Times New Roman"/>
                </w:rPr>
                <m:t>-</m:t>
              </m:r>
              <m:r>
                <m:rPr>
                  <m:sty m:val="p"/>
                </m:rPr>
                <w:rPr>
                  <w:rFonts w:ascii="Cambria Math" w:hAnsi="Cambria Math"/>
                </w:rPr>
                <m:t>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rPr>
                <m:t>slot</m:t>
              </m:r>
            </m:sup>
          </m:sSubSup>
        </m:oMath>
      </m:oMathPara>
    </w:p>
    <w:p w14:paraId="7A5ADD7F" w14:textId="77777777" w:rsidR="00294F9D" w:rsidRDefault="00294F9D" w:rsidP="00294F9D">
      <w:pPr>
        <w:pStyle w:val="BodyText"/>
      </w:pPr>
      <w:r>
        <w:t xml:space="preserve">Similarly, the </w:t>
      </w:r>
      <w:r>
        <w:rPr>
          <w:rFonts w:eastAsiaTheme="minorEastAsia"/>
        </w:rPr>
        <w:t>UE</w:t>
      </w:r>
      <w:r w:rsidRPr="000E4B12">
        <w:t xml:space="preserve"> PDCCH processing capabilities</w:t>
      </w:r>
      <w:r>
        <w:t xml:space="preserve"> per 8-slot monitoring bundle for 960 kHz SCS can then be defined as</w:t>
      </w:r>
    </w:p>
    <w:p w14:paraId="0AF03B17" w14:textId="77777777" w:rsidR="00294F9D" w:rsidRPr="006249E3" w:rsidRDefault="00AC177F" w:rsidP="00294F9D">
      <w:pPr>
        <w:pStyle w:val="BodyText"/>
      </w:pPr>
      <m:oMathPara>
        <m:oMathParaPr>
          <m:jc m:val="centerGroup"/>
        </m:oMathPara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=6</m:t>
              </m:r>
            </m:sub>
            <m:sup>
              <m:r>
                <m:rPr>
                  <m:sty m:val="p"/>
                </m:rPr>
                <w:rPr>
                  <w:rFonts w:ascii="Cambria Math" w:hAnsi="Cambria Math" w:cs="Times New Roman"/>
                </w:rPr>
                <m:t>8</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cs="Times New Roman"/>
                </w:rPr>
                <m:t>slot</m:t>
              </m:r>
            </m:sup>
          </m:sSubSup>
        </m:oMath>
      </m:oMathPara>
    </w:p>
    <w:p w14:paraId="3D178ED6" w14:textId="77777777" w:rsidR="00294F9D" w:rsidRPr="006249E3" w:rsidRDefault="00AC177F" w:rsidP="00294F9D">
      <w:pPr>
        <w:pStyle w:val="BodyText"/>
        <w:rPr>
          <w:rFonts w:eastAsiaTheme="minorEastAsia"/>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=6</m:t>
              </m:r>
            </m:sub>
            <m:sup>
              <m:r>
                <m:rPr>
                  <m:sty m:val="p"/>
                </m:rPr>
                <w:rPr>
                  <w:rFonts w:ascii="Cambria Math" w:hAnsi="Cambria Math"/>
                </w:rPr>
                <m:t>8</m:t>
              </m:r>
              <m:r>
                <m:rPr>
                  <m:nor/>
                </m:rPr>
                <w:rPr>
                  <w:rFonts w:ascii="Cambria Math" w:hAnsi="Cambria Math" w:cs="Times New Roman"/>
                </w:rPr>
                <m:t>-</m:t>
              </m:r>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rPr>
                <m:t>slot</m:t>
              </m:r>
            </m:sup>
          </m:sSubSup>
        </m:oMath>
      </m:oMathPara>
    </w:p>
    <w:p w14:paraId="4BCF8B65" w14:textId="77777777" w:rsidR="00294F9D" w:rsidRDefault="00294F9D" w:rsidP="00294F9D">
      <w:pPr>
        <w:pStyle w:val="BodyText"/>
      </w:pPr>
      <w:r>
        <w:t>In other words, the UE capability for BD/CCE per B-slot bundle for a larger SCS (480 or 960 kHz) is the same as the per-slot capability for 120 kHz.</w:t>
      </w:r>
    </w:p>
    <w:p w14:paraId="139F7B8B" w14:textId="77777777" w:rsidR="00294F9D" w:rsidRPr="00527D78" w:rsidRDefault="00294F9D" w:rsidP="00294F9D">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44" w:name="_Toc68183794"/>
      <w:r>
        <w:t xml:space="preserve">A second approach to define the bundled UE PDCCH processing capabilities when PDCCH monitoring per multiple slots is deployed for larger SCS with a PDCCH monitoring frequency equal to that of 120 kHz SCS is to maintain the same UE processing capabilities per-slot as in a 120 kHz SCS system. That is, </w:t>
      </w:r>
      <w:r>
        <w:rPr>
          <w:rFonts w:eastAsiaTheme="minorEastAsia"/>
        </w:rPr>
        <w:t xml:space="preserve">the </w:t>
      </w:r>
      <w:r>
        <w:t xml:space="preserve">bundled UE PDCCH processing capabilities are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 xml:space="preserve"> </m:t>
            </m:r>
            <m:r>
              <m:rPr>
                <m:sty m:val="b"/>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Pr="00527D78">
        <w:rPr>
          <w:rFonts w:eastAsiaTheme="minorEastAsia"/>
        </w:rPr>
        <w:t xml:space="preserve">, </w:t>
      </w:r>
      <w:r>
        <w:rPr>
          <w:rFonts w:eastAsiaTheme="minorEastAsia"/>
        </w:rPr>
        <w:t xml:space="preserve">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Pr>
          <w:rFonts w:eastAsiaTheme="minorEastAsia"/>
        </w:rPr>
        <w:t>.</w:t>
      </w:r>
      <w:bookmarkEnd w:id="44"/>
    </w:p>
    <w:p w14:paraId="7FBFA6C5" w14:textId="77777777" w:rsidR="00290688" w:rsidRDefault="00290688" w:rsidP="00591A94">
      <w:pPr>
        <w:pStyle w:val="BodyText"/>
      </w:pPr>
    </w:p>
    <w:p w14:paraId="4F9BF310" w14:textId="5845199A" w:rsidR="00016680" w:rsidRDefault="00016680" w:rsidP="00016680">
      <w:pPr>
        <w:pStyle w:val="BodyText"/>
        <w:rPr>
          <w:rFonts w:eastAsiaTheme="minorEastAsia"/>
        </w:rPr>
      </w:pPr>
      <w:r>
        <w:t xml:space="preserve">For scaling solution 2, there remains the questions of whether and how to define the UE PDCCH processing capabilities for 480 kHz SCS with </w:t>
      </w:r>
      <w:r>
        <w:rPr>
          <w:rFonts w:eastAsiaTheme="minorEastAsia"/>
        </w:rPr>
        <w:t xml:space="preserve">bundle size </w:t>
      </w:r>
      <m:oMath>
        <m:r>
          <w:rPr>
            <w:rFonts w:ascii="Cambria Math" w:hAnsi="Cambria Math"/>
          </w:rPr>
          <m:t>B&lt;4</m:t>
        </m:r>
      </m:oMath>
      <w:r>
        <w:rPr>
          <w:rFonts w:eastAsiaTheme="minorEastAsia"/>
        </w:rPr>
        <w:t xml:space="preserve"> and for 960 kHz SCS with bundle size </w:t>
      </w:r>
      <m:oMath>
        <m:r>
          <w:rPr>
            <w:rFonts w:ascii="Cambria Math" w:eastAsiaTheme="minorEastAsia" w:hAnsi="Cambria Math"/>
          </w:rPr>
          <m:t>B&lt;8</m:t>
        </m:r>
      </m:oMath>
      <w:r>
        <w:rPr>
          <w:rFonts w:eastAsiaTheme="minorEastAsia"/>
        </w:rPr>
        <w:t>. It is noted that t</w:t>
      </w:r>
      <w:r w:rsidRPr="00DE5E3B">
        <w:rPr>
          <w:rFonts w:eastAsiaTheme="minorEastAsia"/>
        </w:rPr>
        <w:t>he hashing functions spread the candidates evenly across the CORESET</w:t>
      </w:r>
      <w:r>
        <w:rPr>
          <w:rFonts w:eastAsiaTheme="minorEastAsia"/>
        </w:rPr>
        <w:t xml:space="preserve">. </w:t>
      </w:r>
      <w:r>
        <w:t xml:space="preserve">Since separate hashing functions are used for PDCCH candidates of different aggregation levels and the channel estimation CCE budget counts separately the channel estimation performed for different CORESETs, support of different aggregation levels and scheduling framework become difficult for </w:t>
      </w:r>
      <m:oMath>
        <m:sSub>
          <m:sSubPr>
            <m:ctrlPr>
              <w:rPr>
                <w:rFonts w:ascii="Cambria Math" w:hAnsi="Cambria Math"/>
              </w:rPr>
            </m:ctrlPr>
          </m:sSubPr>
          <m:e>
            <m:r>
              <w:rPr>
                <w:rFonts w:ascii="Cambria Math" w:hAnsi="Cambria Math"/>
              </w:rPr>
              <m:t>N</m:t>
            </m:r>
          </m:e>
          <m:sub>
            <m:r>
              <m:rPr>
                <m:nor/>
              </m:rPr>
              <w:rPr>
                <w:rFonts w:ascii="Cambria Math" w:hAnsi="Cambria Math"/>
              </w:rPr>
              <m:t>CCE</m:t>
            </m:r>
          </m:sub>
        </m:sSub>
        <m:r>
          <w:rPr>
            <w:rFonts w:ascii="Cambria Math" w:hAnsi="Cambria Math"/>
          </w:rPr>
          <m:t>&lt;32</m:t>
        </m:r>
      </m:oMath>
      <w:r>
        <w:rPr>
          <w:rFonts w:eastAsiaTheme="minorEastAsia"/>
        </w:rPr>
        <w:t xml:space="preserve"> (where 32 is the per-slot CCE budget correspond</w:t>
      </w:r>
      <w:proofErr w:type="spellStart"/>
      <w:r>
        <w:rPr>
          <w:rFonts w:eastAsiaTheme="minorEastAsia"/>
        </w:rPr>
        <w:t>ing</w:t>
      </w:r>
      <w:proofErr w:type="spellEnd"/>
      <w:r>
        <w:rPr>
          <w:rFonts w:eastAsiaTheme="minorEastAsia"/>
        </w:rPr>
        <w:t xml:space="preserve"> 120 kHz SCS in Rel-15). Therefore, to ensure proper system operations and lower specs impacts, </w:t>
      </w:r>
      <w:r>
        <w:t xml:space="preserve">UE PDCCH processing capabilities for 480 kHz SCS with </w:t>
      </w:r>
      <w:r>
        <w:rPr>
          <w:rFonts w:eastAsiaTheme="minorEastAsia"/>
        </w:rPr>
        <w:t xml:space="preserve">bundle size </w:t>
      </w:r>
      <m:oMath>
        <m:r>
          <w:rPr>
            <w:rFonts w:ascii="Cambria Math" w:hAnsi="Cambria Math"/>
          </w:rPr>
          <m:t>B&lt;4</m:t>
        </m:r>
      </m:oMath>
      <w:r>
        <w:rPr>
          <w:rFonts w:eastAsiaTheme="minorEastAsia"/>
        </w:rPr>
        <w:t xml:space="preserve"> and for 960 kHz SCS with bundle size </w:t>
      </w:r>
      <m:oMath>
        <m:r>
          <w:rPr>
            <w:rFonts w:ascii="Cambria Math" w:eastAsiaTheme="minorEastAsia" w:hAnsi="Cambria Math"/>
          </w:rPr>
          <m:t>B&lt;8</m:t>
        </m:r>
      </m:oMath>
      <w:r>
        <w:rPr>
          <w:rFonts w:eastAsiaTheme="minorEastAsia"/>
        </w:rPr>
        <w:t xml:space="preserve"> are to be defined as the same as for </w:t>
      </w:r>
      <w:r>
        <w:t xml:space="preserve">480 kHz SCS with </w:t>
      </w:r>
      <w:r>
        <w:rPr>
          <w:rFonts w:eastAsiaTheme="minorEastAsia"/>
        </w:rPr>
        <w:t xml:space="preserve">bundle size </w:t>
      </w:r>
      <m:oMath>
        <m:r>
          <w:rPr>
            <w:rFonts w:ascii="Cambria Math" w:hAnsi="Cambria Math"/>
          </w:rPr>
          <m:t>B=4</m:t>
        </m:r>
      </m:oMath>
      <w:r>
        <w:rPr>
          <w:rFonts w:eastAsiaTheme="minorEastAsia"/>
        </w:rPr>
        <w:t xml:space="preserve"> and for 960 kHz SCS with bundle size </w:t>
      </w:r>
      <m:oMath>
        <m:r>
          <w:rPr>
            <w:rFonts w:ascii="Cambria Math" w:eastAsiaTheme="minorEastAsia" w:hAnsi="Cambria Math"/>
          </w:rPr>
          <m:t>B=8</m:t>
        </m:r>
      </m:oMath>
      <w:r>
        <w:rPr>
          <w:rFonts w:eastAsiaTheme="minorEastAsia"/>
        </w:rPr>
        <w:t>, respectively.</w:t>
      </w:r>
    </w:p>
    <w:p w14:paraId="6DF3FC1D" w14:textId="2A6421F7" w:rsidR="00AD072E" w:rsidRDefault="00AD072E" w:rsidP="00016680">
      <w:pPr>
        <w:pStyle w:val="BodyText"/>
        <w:rPr>
          <w:rFonts w:eastAsiaTheme="minorEastAsia"/>
        </w:rPr>
      </w:pPr>
      <w:r>
        <w:rPr>
          <w:rFonts w:eastAsiaTheme="minorEastAsia"/>
        </w:rPr>
        <w:fldChar w:fldCharType="begin"/>
      </w:r>
      <w:r>
        <w:rPr>
          <w:rFonts w:eastAsiaTheme="minorEastAsia"/>
        </w:rPr>
        <w:instrText xml:space="preserve"> REF _Ref68084604 \h </w:instrText>
      </w:r>
      <w:r>
        <w:rPr>
          <w:rFonts w:eastAsiaTheme="minorEastAsia"/>
        </w:rPr>
      </w:r>
      <w:r>
        <w:rPr>
          <w:rFonts w:eastAsiaTheme="minorEastAsia"/>
        </w:rPr>
        <w:fldChar w:fldCharType="separate"/>
      </w:r>
      <w:r>
        <w:t xml:space="preserve">Figure </w:t>
      </w:r>
      <w:r>
        <w:rPr>
          <w:noProof/>
        </w:rPr>
        <w:t>15</w:t>
      </w:r>
      <w:r>
        <w:rPr>
          <w:rFonts w:eastAsiaTheme="minorEastAsia"/>
        </w:rPr>
        <w:fldChar w:fldCharType="end"/>
      </w:r>
      <w:r>
        <w:rPr>
          <w:rFonts w:eastAsiaTheme="minorEastAsia"/>
        </w:rPr>
        <w:t xml:space="preserve"> shows the BD and CCE budgets per B slots for Capability Scaling Solutions 1 and 2 assuming B = 4 for 480 kHz and B = 8 for 960 kHz. It can be further discussed what values to define within the range provided by these two solutions.</w:t>
      </w:r>
    </w:p>
    <w:p w14:paraId="5F416B8D" w14:textId="50DDEAA9" w:rsidR="00AD072E" w:rsidRDefault="00AD072E" w:rsidP="003D629D">
      <w:pPr>
        <w:pStyle w:val="BodyText"/>
        <w:spacing w:after="0"/>
        <w:jc w:val="center"/>
      </w:pPr>
      <w:r>
        <w:rPr>
          <w:noProof/>
        </w:rPr>
        <w:drawing>
          <wp:inline distT="0" distB="0" distL="0" distR="0" wp14:anchorId="6C80433D" wp14:editId="75E879C4">
            <wp:extent cx="3657600" cy="2743200"/>
            <wp:effectExtent l="0" t="0" r="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pic:nvPicPr>
                  <pic:blipFill>
                    <a:blip r:embed="rId37">
                      <a:extLst>
                        <a:ext uri="{28A0092B-C50C-407E-A947-70E740481C1C}">
                          <a14:useLocalDpi xmlns:a14="http://schemas.microsoft.com/office/drawing/2010/main" val="0"/>
                        </a:ext>
                      </a:extLst>
                    </a:blip>
                    <a:stretch>
                      <a:fillRect/>
                    </a:stretch>
                  </pic:blipFill>
                  <pic:spPr>
                    <a:xfrm>
                      <a:off x="0" y="0"/>
                      <a:ext cx="3657600" cy="2743200"/>
                    </a:xfrm>
                    <a:prstGeom prst="rect">
                      <a:avLst/>
                    </a:prstGeom>
                  </pic:spPr>
                </pic:pic>
              </a:graphicData>
            </a:graphic>
          </wp:inline>
        </w:drawing>
      </w:r>
    </w:p>
    <w:p w14:paraId="6BC7F017" w14:textId="7197B4AF" w:rsidR="00AD072E" w:rsidRDefault="00AD072E" w:rsidP="00CE0733">
      <w:pPr>
        <w:pStyle w:val="Caption"/>
        <w:jc w:val="both"/>
      </w:pPr>
      <w:bookmarkStart w:id="45" w:name="_Ref68084604"/>
      <w:r>
        <w:t xml:space="preserve">Figure </w:t>
      </w:r>
      <w:r>
        <w:fldChar w:fldCharType="begin"/>
      </w:r>
      <w:r>
        <w:instrText xml:space="preserve"> SEQ Figure \* ARABIC </w:instrText>
      </w:r>
      <w:r>
        <w:fldChar w:fldCharType="separate"/>
      </w:r>
      <w:r>
        <w:rPr>
          <w:noProof/>
        </w:rPr>
        <w:t>15</w:t>
      </w:r>
      <w:r>
        <w:fldChar w:fldCharType="end"/>
      </w:r>
      <w:bookmarkEnd w:id="45"/>
      <w:r>
        <w:t>: BD and CCE budgets per slot and scaled</w:t>
      </w:r>
      <w:r w:rsidRPr="000E4B12">
        <w:rPr>
          <w:rFonts w:cs="Arial"/>
          <w:iCs/>
        </w:rPr>
        <w:t xml:space="preserve"> </w:t>
      </w:r>
      <w:r w:rsidRPr="000E4B12">
        <w:rPr>
          <w:rFonts w:cs="Arial"/>
        </w:rPr>
        <w:t xml:space="preserve">values per </w:t>
      </w:r>
      <w:r>
        <w:rPr>
          <w:rFonts w:cs="Arial"/>
        </w:rPr>
        <w:t xml:space="preserve">B-slots (B = 4 for 480 kHz and B = 8 for 960 kHz). </w:t>
      </w:r>
    </w:p>
    <w:p w14:paraId="2CC897D0" w14:textId="77777777" w:rsidR="00016680" w:rsidRDefault="00016680" w:rsidP="00016680">
      <w:pPr>
        <w:pStyle w:val="BodyText"/>
      </w:pPr>
      <w:r>
        <w:rPr>
          <w:rFonts w:eastAsiaTheme="minorEastAsia"/>
        </w:rPr>
        <w:t xml:space="preserve">For </w:t>
      </w:r>
      <w:r>
        <w:t xml:space="preserve">480 kHz SCS with </w:t>
      </w:r>
      <w:r>
        <w:rPr>
          <w:rFonts w:eastAsiaTheme="minorEastAsia"/>
        </w:rPr>
        <w:t xml:space="preserve">bundle size </w:t>
      </w:r>
      <m:oMath>
        <m:r>
          <w:rPr>
            <w:rFonts w:ascii="Cambria Math" w:hAnsi="Cambria Math"/>
          </w:rPr>
          <m:t>B&gt;4</m:t>
        </m:r>
      </m:oMath>
      <w:r>
        <w:rPr>
          <w:rFonts w:eastAsiaTheme="minorEastAsia"/>
        </w:rPr>
        <w:t xml:space="preserve"> and for 960 kHz SCS with bundle size </w:t>
      </w:r>
      <m:oMath>
        <m:r>
          <w:rPr>
            <w:rFonts w:ascii="Cambria Math" w:eastAsiaTheme="minorEastAsia" w:hAnsi="Cambria Math"/>
          </w:rPr>
          <m:t>B&gt;8</m:t>
        </m:r>
      </m:oMath>
      <w:r>
        <w:rPr>
          <w:rFonts w:eastAsiaTheme="minorEastAsia"/>
        </w:rPr>
        <w:t xml:space="preserve">, the scaling approaches discussed in the above can be combined. That is, for the example of 480 kHz SCS with </w:t>
      </w:r>
      <m:oMath>
        <m:r>
          <w:rPr>
            <w:rFonts w:ascii="Cambria Math" w:eastAsiaTheme="minorEastAsia" w:hAnsi="Cambria Math"/>
          </w:rPr>
          <m:t>4&lt;B≤8</m:t>
        </m:r>
      </m:oMath>
      <w:r>
        <w:rPr>
          <w:rFonts w:eastAsiaTheme="minorEastAsia"/>
        </w:rPr>
        <w:t>, the UE PDCCH processing capabilities are defined as double those for a 120 kHz SCS system. I</w:t>
      </w:r>
      <w:proofErr w:type="spellStart"/>
      <w:r>
        <w:rPr>
          <w:rFonts w:eastAsiaTheme="minorEastAsia"/>
        </w:rPr>
        <w:t>n</w:t>
      </w:r>
      <w:proofErr w:type="spellEnd"/>
      <w:r>
        <w:rPr>
          <w:rFonts w:eastAsiaTheme="minorEastAsia"/>
        </w:rPr>
        <w:t xml:space="preserve"> summary, if monitoring bundle size of </w:t>
      </w:r>
      <m:oMath>
        <m:r>
          <w:rPr>
            <w:rFonts w:ascii="Cambria Math" w:eastAsiaTheme="minorEastAsia" w:hAnsi="Cambria Math"/>
          </w:rPr>
          <m:t>B≠4</m:t>
        </m:r>
      </m:oMath>
      <w:r>
        <w:rPr>
          <w:rFonts w:eastAsiaTheme="minorEastAsia"/>
        </w:rPr>
        <w:t xml:space="preserve"> </w:t>
      </w:r>
      <w:r>
        <w:t xml:space="preserve">for 480 kHz SCS or </w:t>
      </w:r>
      <m:oMath>
        <m:r>
          <w:rPr>
            <w:rFonts w:ascii="Cambria Math" w:hAnsi="Cambria Math"/>
          </w:rPr>
          <m:t>B≠8</m:t>
        </m:r>
      </m:oMath>
      <w:r>
        <w:rPr>
          <w:rFonts w:eastAsiaTheme="minorEastAsia"/>
        </w:rPr>
        <w:t xml:space="preserve"> for 960 kHz SCS are supported, the UE PDCCH processing capabilities are defined as follows:</w:t>
      </w:r>
    </w:p>
    <w:p w14:paraId="2674C8BA" w14:textId="77777777" w:rsidR="00016680" w:rsidRPr="005571F9" w:rsidRDefault="00AC177F" w:rsidP="00016680">
      <w:pPr>
        <w:pStyle w:val="BodyText"/>
      </w:pPr>
      <m:oMathPara>
        <m:oMathParaPr>
          <m:jc m:val="centerGroup"/>
        </m:oMathPara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BD, </m:t>
              </m:r>
              <m:r>
                <w:rPr>
                  <w:rFonts w:ascii="Cambria Math" w:hAnsi="Cambria Math" w:cs="Times New Roman"/>
                </w:rPr>
                <m:t>μ</m:t>
              </m:r>
            </m:sub>
            <m:sup>
              <m:r>
                <w:rPr>
                  <w:rFonts w:ascii="Cambria Math" w:hAnsi="Cambria Math" w:cs="Times New Roman"/>
                </w:rPr>
                <m:t>B</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B</m:t>
                  </m:r>
                </m:num>
                <m:den>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μ</m:t>
                      </m:r>
                      <m:r>
                        <m:rPr>
                          <m:sty m:val="p"/>
                        </m:rPr>
                        <w:rPr>
                          <w:rFonts w:ascii="Cambria Math" w:hAnsi="Cambria Math" w:cs="Times New Roman"/>
                        </w:rPr>
                        <m:t>-3</m:t>
                      </m:r>
                    </m:sup>
                  </m:sSup>
                </m:den>
              </m:f>
            </m:e>
          </m:d>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cs="Times New Roman"/>
                </w:rPr>
                <m:t>slot</m:t>
              </m:r>
            </m:sup>
          </m:sSubSup>
        </m:oMath>
      </m:oMathPara>
    </w:p>
    <w:p w14:paraId="694549F4" w14:textId="77777777" w:rsidR="00016680" w:rsidRPr="005571F9" w:rsidRDefault="00AC177F" w:rsidP="00016680">
      <w:pPr>
        <w:pStyle w:val="BodyText"/>
      </w:pPr>
      <m:oMathPara>
        <m:oMathParaPr>
          <m:jc m:val="centerGroup"/>
        </m:oMathPara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CCE, </m:t>
              </m:r>
              <m:r>
                <w:rPr>
                  <w:rFonts w:ascii="Cambria Math" w:hAnsi="Cambria Math" w:cs="Times New Roman"/>
                </w:rPr>
                <m:t>μ</m:t>
              </m:r>
            </m:sub>
            <m:sup>
              <m:r>
                <w:rPr>
                  <w:rFonts w:ascii="Cambria Math" w:hAnsi="Cambria Math" w:cs="Times New Roman"/>
                </w:rPr>
                <m:t>B</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B</m:t>
                  </m:r>
                </m:num>
                <m:den>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μ</m:t>
                      </m:r>
                      <m:r>
                        <m:rPr>
                          <m:sty m:val="p"/>
                        </m:rPr>
                        <w:rPr>
                          <w:rFonts w:ascii="Cambria Math" w:hAnsi="Cambria Math" w:cs="Times New Roman"/>
                        </w:rPr>
                        <m:t>-3</m:t>
                      </m:r>
                    </m:sup>
                  </m:sSup>
                </m:den>
              </m:f>
            </m:e>
          </m:d>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CCE,</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cs="Times New Roman"/>
                </w:rPr>
                <m:t>slot</m:t>
              </m:r>
            </m:sup>
          </m:sSubSup>
        </m:oMath>
      </m:oMathPara>
    </w:p>
    <w:p w14:paraId="2233134C" w14:textId="77777777" w:rsidR="00016680" w:rsidRDefault="00016680" w:rsidP="00016680">
      <w:pPr>
        <w:pStyle w:val="BodyText"/>
      </w:pPr>
      <w:r>
        <w:t xml:space="preserve">In these expressions, </w:t>
      </w:r>
      <m:oMath>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B</m:t>
                </m:r>
              </m:num>
              <m:den>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μ</m:t>
                    </m:r>
                    <m:r>
                      <m:rPr>
                        <m:sty m:val="p"/>
                      </m:rPr>
                      <w:rPr>
                        <w:rFonts w:ascii="Cambria Math" w:hAnsi="Cambria Math" w:cs="Times New Roman"/>
                      </w:rPr>
                      <m:t>-3</m:t>
                    </m:r>
                  </m:sup>
                </m:sSup>
              </m:den>
            </m:f>
          </m:e>
        </m:d>
      </m:oMath>
      <w:r>
        <w:rPr>
          <w:rFonts w:eastAsiaTheme="minorEastAsia"/>
        </w:rPr>
        <w:t xml:space="preserve"> has a stair-step pattern as a function of B. For example, for 480 kHz (</w:t>
      </w:r>
      <m:oMath>
        <m:r>
          <w:rPr>
            <w:rFonts w:ascii="Cambria Math" w:eastAsiaTheme="minorEastAsia" w:hAnsi="Cambria Math"/>
          </w:rPr>
          <m:t>μ=5</m:t>
        </m:r>
      </m:oMath>
      <w:r>
        <w:rPr>
          <w:rFonts w:eastAsiaTheme="minorEastAsia"/>
        </w:rPr>
        <w:t xml:space="preserve">), it equals 1 for </w:t>
      </w:r>
      <m:oMath>
        <m:r>
          <w:rPr>
            <w:rFonts w:ascii="Cambria Math" w:eastAsiaTheme="minorEastAsia" w:hAnsi="Cambria Math"/>
          </w:rPr>
          <m:t>1≤B≤4</m:t>
        </m:r>
      </m:oMath>
      <w:r>
        <w:rPr>
          <w:rFonts w:eastAsiaTheme="minorEastAsia"/>
        </w:rPr>
        <w:t xml:space="preserve">, 2 for </w:t>
      </w:r>
      <m:oMath>
        <m:r>
          <w:rPr>
            <w:rFonts w:ascii="Cambria Math" w:eastAsiaTheme="minorEastAsia" w:hAnsi="Cambria Math"/>
          </w:rPr>
          <m:t>5≤B≤8</m:t>
        </m:r>
      </m:oMath>
      <w:r>
        <w:rPr>
          <w:rFonts w:eastAsiaTheme="minorEastAsia"/>
        </w:rPr>
        <w:t xml:space="preserve">, 3 for </w:t>
      </w:r>
      <m:oMath>
        <m:r>
          <w:rPr>
            <w:rFonts w:ascii="Cambria Math" w:eastAsiaTheme="minorEastAsia" w:hAnsi="Cambria Math"/>
          </w:rPr>
          <m:t>9≤B≤12</m:t>
        </m:r>
      </m:oMath>
      <w:r>
        <w:rPr>
          <w:rFonts w:eastAsiaTheme="minorEastAsia"/>
        </w:rPr>
        <w:t>, and so on.</w:t>
      </w:r>
    </w:p>
    <w:p w14:paraId="1C78158A" w14:textId="77777777" w:rsidR="00016680" w:rsidRPr="00527D78" w:rsidRDefault="00016680" w:rsidP="00016680">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46" w:name="_Toc68183795"/>
      <w:r>
        <w:rPr>
          <w:rFonts w:eastAsiaTheme="minorEastAsia"/>
        </w:rPr>
        <w:t xml:space="preserve">If arbitrary monitoring bundle size of </w:t>
      </w:r>
      <m:oMath>
        <m:r>
          <m:rPr>
            <m:sty m:val="bi"/>
          </m:rPr>
          <w:rPr>
            <w:rFonts w:ascii="Cambria Math" w:eastAsiaTheme="minorEastAsia" w:hAnsi="Cambria Math"/>
          </w:rPr>
          <m:t>B</m:t>
        </m:r>
      </m:oMath>
      <w:r>
        <w:rPr>
          <w:rFonts w:eastAsiaTheme="minorEastAsia"/>
        </w:rPr>
        <w:t xml:space="preserve"> is supported for UE capability scaling Option 2, i.e., </w:t>
      </w:r>
      <m:oMath>
        <m:r>
          <m:rPr>
            <m:sty m:val="bi"/>
          </m:rPr>
          <w:rPr>
            <w:rFonts w:ascii="Cambria Math" w:eastAsiaTheme="minorEastAsia" w:hAnsi="Cambria Math"/>
          </w:rPr>
          <m:t>B≠4</m:t>
        </m:r>
      </m:oMath>
      <w:r>
        <w:rPr>
          <w:rFonts w:eastAsiaTheme="minorEastAsia"/>
        </w:rPr>
        <w:t xml:space="preserve"> </w:t>
      </w:r>
      <w:r>
        <w:t xml:space="preserve">for 480 kHz SCS or </w:t>
      </w:r>
      <m:oMath>
        <m:r>
          <m:rPr>
            <m:sty m:val="bi"/>
          </m:rPr>
          <w:rPr>
            <w:rFonts w:ascii="Cambria Math" w:hAnsi="Cambria Math"/>
          </w:rPr>
          <m:t>B≠8</m:t>
        </m:r>
      </m:oMath>
      <w:r>
        <w:rPr>
          <w:rFonts w:eastAsiaTheme="minorEastAsia"/>
        </w:rPr>
        <w:t xml:space="preserve"> for 960 kHz SCS are supported</w:t>
      </w:r>
      <w:r>
        <w:t xml:space="preserve">, the bundled UE PDCCH processing capabilities are scaled relative to those for the 120 kHz SCS by a factor of </w:t>
      </w:r>
      <m:oMath>
        <m:d>
          <m:dPr>
            <m:begChr m:val="⌈"/>
            <m:endChr m:val="⌉"/>
            <m:ctrlPr>
              <w:rPr>
                <w:rFonts w:ascii="Cambria Math" w:hAnsi="Cambria Math" w:cs="Times New Roman"/>
                <w:b w:val="0"/>
                <w:bCs w:val="0"/>
                <w:i/>
              </w:rPr>
            </m:ctrlPr>
          </m:dPr>
          <m:e>
            <m:f>
              <m:fPr>
                <m:ctrlPr>
                  <w:rPr>
                    <w:rFonts w:ascii="Cambria Math" w:hAnsi="Cambria Math" w:cs="Times New Roman"/>
                    <w:b w:val="0"/>
                    <w:bCs w:val="0"/>
                    <w:i/>
                  </w:rPr>
                </m:ctrlPr>
              </m:fPr>
              <m:num>
                <m:r>
                  <m:rPr>
                    <m:sty m:val="bi"/>
                  </m:rPr>
                  <w:rPr>
                    <w:rFonts w:ascii="Cambria Math" w:hAnsi="Cambria Math" w:cs="Times New Roman"/>
                  </w:rPr>
                  <m:t>B</m:t>
                </m:r>
              </m:num>
              <m:den>
                <m:sSup>
                  <m:sSupPr>
                    <m:ctrlPr>
                      <w:rPr>
                        <w:rFonts w:ascii="Cambria Math" w:hAnsi="Cambria Math" w:cs="Times New Roman"/>
                        <w:b w:val="0"/>
                        <w:bCs w:val="0"/>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den>
            </m:f>
          </m:e>
        </m:d>
      </m:oMath>
      <w:r>
        <w:rPr>
          <w:rFonts w:eastAsiaTheme="minorEastAsia"/>
        </w:rPr>
        <w:t>.</w:t>
      </w:r>
      <w:bookmarkEnd w:id="46"/>
    </w:p>
    <w:p w14:paraId="7B12617B" w14:textId="77777777" w:rsidR="00A17FCF" w:rsidRPr="00330D08" w:rsidRDefault="00A17FCF" w:rsidP="00330D08">
      <w:pPr>
        <w:rPr>
          <w:lang w:val="en-GB" w:eastAsia="ja-JP"/>
        </w:rPr>
      </w:pPr>
    </w:p>
    <w:p w14:paraId="7A2EDFAA" w14:textId="637E7623" w:rsidR="00394451" w:rsidRPr="00CE0424" w:rsidRDefault="00394451" w:rsidP="00394451">
      <w:pPr>
        <w:pStyle w:val="Heading1"/>
      </w:pPr>
      <w:bookmarkStart w:id="47" w:name="_Toc67653048"/>
      <w:r w:rsidRPr="00CE0424">
        <w:t>Conclusion</w:t>
      </w:r>
      <w:bookmarkEnd w:id="47"/>
    </w:p>
    <w:p w14:paraId="7F453617" w14:textId="77777777" w:rsidR="00D3526E" w:rsidRPr="00D3526E" w:rsidRDefault="00D3526E" w:rsidP="00D3526E">
      <w:pPr>
        <w:pStyle w:val="BodyText"/>
        <w:rPr>
          <w:b/>
          <w:bCs/>
        </w:rPr>
      </w:pPr>
      <w:r w:rsidRPr="00D3526E">
        <w:t>In this paper we made the following observations:</w:t>
      </w:r>
      <w:r w:rsidRPr="00D3526E">
        <w:rPr>
          <w:b/>
          <w:bCs/>
        </w:rPr>
        <w:t xml:space="preserve"> </w:t>
      </w:r>
    </w:p>
    <w:p w14:paraId="13E0D489" w14:textId="77777777" w:rsidR="00CE0733" w:rsidRDefault="00D3526E">
      <w:pPr>
        <w:pStyle w:val="TableofFigures"/>
        <w:tabs>
          <w:tab w:val="right" w:leader="dot" w:pos="9629"/>
        </w:tabs>
        <w:rPr>
          <w:rFonts w:asciiTheme="minorHAnsi" w:eastAsiaTheme="minorEastAsia" w:hAnsiTheme="minorHAnsi"/>
          <w:b w:val="0"/>
          <w:noProof/>
          <w:sz w:val="22"/>
          <w:lang w:eastAsia="en-US"/>
        </w:rPr>
      </w:pPr>
      <w:r w:rsidRPr="00D3526E">
        <w:rPr>
          <w:bCs/>
        </w:rPr>
        <w:fldChar w:fldCharType="begin"/>
      </w:r>
      <w:r w:rsidRPr="00D3526E">
        <w:rPr>
          <w:bCs/>
        </w:rPr>
        <w:instrText xml:space="preserve"> TOC \f O \n \h \z \t "Observation" \c </w:instrText>
      </w:r>
      <w:r w:rsidRPr="00D3526E">
        <w:rPr>
          <w:bCs/>
        </w:rPr>
        <w:fldChar w:fldCharType="separate"/>
      </w:r>
      <w:hyperlink w:anchor="_Toc68610470" w:history="1">
        <w:r w:rsidR="00CE0733" w:rsidRPr="00A74C15">
          <w:rPr>
            <w:rStyle w:val="Hyperlink"/>
            <w:noProof/>
          </w:rPr>
          <w:t>Observation 1</w:t>
        </w:r>
        <w:r w:rsidR="00CE0733">
          <w:rPr>
            <w:rFonts w:asciiTheme="minorHAnsi" w:eastAsiaTheme="minorEastAsia" w:hAnsiTheme="minorHAnsi"/>
            <w:b w:val="0"/>
            <w:noProof/>
            <w:sz w:val="22"/>
            <w:lang w:eastAsia="en-US"/>
          </w:rPr>
          <w:tab/>
        </w:r>
        <w:r w:rsidR="00CE0733" w:rsidRPr="00A74C15">
          <w:rPr>
            <w:rStyle w:val="Hyperlink"/>
            <w:noProof/>
          </w:rPr>
          <w:t>While the three alternatives for defining UE multi-slot PDCCH processing capabilities are constructed from different starting perspectives, they all end up utilizing or requiring certain sliding window check on the PDCCH processing loads.</w:t>
        </w:r>
      </w:hyperlink>
    </w:p>
    <w:p w14:paraId="33464DEF" w14:textId="77777777" w:rsidR="00CE0733" w:rsidRDefault="00CE0733">
      <w:pPr>
        <w:pStyle w:val="TableofFigures"/>
        <w:tabs>
          <w:tab w:val="right" w:leader="dot" w:pos="9629"/>
        </w:tabs>
        <w:rPr>
          <w:rFonts w:asciiTheme="minorHAnsi" w:eastAsiaTheme="minorEastAsia" w:hAnsiTheme="minorHAnsi"/>
          <w:b w:val="0"/>
          <w:noProof/>
          <w:sz w:val="22"/>
          <w:lang w:eastAsia="en-US"/>
        </w:rPr>
      </w:pPr>
      <w:hyperlink w:anchor="_Toc68610471" w:history="1">
        <w:r w:rsidRPr="00A74C15">
          <w:rPr>
            <w:rStyle w:val="Hyperlink"/>
            <w:noProof/>
          </w:rPr>
          <w:t>Observation 2</w:t>
        </w:r>
        <w:r>
          <w:rPr>
            <w:rFonts w:asciiTheme="minorHAnsi" w:eastAsiaTheme="minorEastAsia" w:hAnsiTheme="minorHAnsi"/>
            <w:b w:val="0"/>
            <w:noProof/>
            <w:sz w:val="22"/>
            <w:lang w:eastAsia="en-US"/>
          </w:rPr>
          <w:tab/>
        </w:r>
        <w:r w:rsidRPr="00A74C15">
          <w:rPr>
            <w:rStyle w:val="Hyperlink"/>
            <w:noProof/>
          </w:rPr>
          <w:t>Alt 1A where PDCCH monitoring is restricted to the beginning of an N-slot group is less flexible than Alt 2 but has the same operational flaws as Alt 2 from a network perspective.</w:t>
        </w:r>
      </w:hyperlink>
    </w:p>
    <w:p w14:paraId="2B288C36" w14:textId="77777777" w:rsidR="00CE0733" w:rsidRDefault="00CE0733">
      <w:pPr>
        <w:pStyle w:val="TableofFigures"/>
        <w:tabs>
          <w:tab w:val="right" w:leader="dot" w:pos="9629"/>
        </w:tabs>
        <w:rPr>
          <w:rFonts w:asciiTheme="minorHAnsi" w:eastAsiaTheme="minorEastAsia" w:hAnsiTheme="minorHAnsi"/>
          <w:b w:val="0"/>
          <w:noProof/>
          <w:sz w:val="22"/>
          <w:lang w:eastAsia="en-US"/>
        </w:rPr>
      </w:pPr>
      <w:hyperlink w:anchor="_Toc68610472" w:history="1">
        <w:r w:rsidRPr="00A74C15">
          <w:rPr>
            <w:rStyle w:val="Hyperlink"/>
            <w:noProof/>
          </w:rPr>
          <w:t>Observation 3</w:t>
        </w:r>
        <w:r>
          <w:rPr>
            <w:rFonts w:asciiTheme="minorHAnsi" w:eastAsiaTheme="minorEastAsia" w:hAnsiTheme="minorHAnsi"/>
            <w:b w:val="0"/>
            <w:noProof/>
            <w:sz w:val="22"/>
            <w:lang w:eastAsia="en-US"/>
          </w:rPr>
          <w:tab/>
        </w:r>
        <w:r w:rsidRPr="00A74C15">
          <w:rPr>
            <w:rStyle w:val="Hyperlink"/>
            <w:noProof/>
          </w:rPr>
          <w:t>Alt 1B where PDCCH monitoring can be configured in any slot of an N-slot group becomes operationally identical to Alt 3 when all restrictions against local PDCCH processing load violations are put in place.</w:t>
        </w:r>
      </w:hyperlink>
    </w:p>
    <w:p w14:paraId="4D97CAE8" w14:textId="77777777" w:rsidR="00CE0733" w:rsidRDefault="00CE0733">
      <w:pPr>
        <w:pStyle w:val="TableofFigures"/>
        <w:tabs>
          <w:tab w:val="right" w:leader="dot" w:pos="9629"/>
        </w:tabs>
        <w:rPr>
          <w:rFonts w:asciiTheme="minorHAnsi" w:eastAsiaTheme="minorEastAsia" w:hAnsiTheme="minorHAnsi"/>
          <w:b w:val="0"/>
          <w:noProof/>
          <w:sz w:val="22"/>
          <w:lang w:eastAsia="en-US"/>
        </w:rPr>
      </w:pPr>
      <w:hyperlink w:anchor="_Toc68610473" w:history="1">
        <w:r w:rsidRPr="00A74C15">
          <w:rPr>
            <w:rStyle w:val="Hyperlink"/>
            <w:noProof/>
          </w:rPr>
          <w:t>Observation 4</w:t>
        </w:r>
        <w:r>
          <w:rPr>
            <w:rFonts w:asciiTheme="minorHAnsi" w:eastAsiaTheme="minorEastAsia" w:hAnsiTheme="minorHAnsi"/>
            <w:b w:val="0"/>
            <w:noProof/>
            <w:sz w:val="22"/>
            <w:lang w:eastAsia="en-US"/>
          </w:rPr>
          <w:tab/>
        </w:r>
        <w:r w:rsidRPr="00A74C15">
          <w:rPr>
            <w:rStyle w:val="Hyperlink"/>
            <w:noProof/>
          </w:rPr>
          <w:t>Alt 2 (and Alt 1A) requires the UE to support intra-slot monitoring capability of Y</w:t>
        </w:r>
        <w:r w:rsidRPr="00A74C15">
          <w:rPr>
            <w:rStyle w:val="Hyperlink"/>
            <w:rFonts w:ascii="Cambria Math" w:hAnsi="Cambria Math"/>
            <w:noProof/>
          </w:rPr>
          <w:t>≫</w:t>
        </w:r>
        <w:r w:rsidRPr="00A74C15">
          <w:rPr>
            <w:rStyle w:val="Hyperlink"/>
            <w:noProof/>
          </w:rPr>
          <w:t>3 OS.</w:t>
        </w:r>
      </w:hyperlink>
    </w:p>
    <w:p w14:paraId="53501792" w14:textId="77777777" w:rsidR="00CE0733" w:rsidRDefault="00CE0733">
      <w:pPr>
        <w:pStyle w:val="TableofFigures"/>
        <w:tabs>
          <w:tab w:val="right" w:leader="dot" w:pos="9629"/>
        </w:tabs>
        <w:rPr>
          <w:rFonts w:asciiTheme="minorHAnsi" w:eastAsiaTheme="minorEastAsia" w:hAnsiTheme="minorHAnsi"/>
          <w:b w:val="0"/>
          <w:noProof/>
          <w:sz w:val="22"/>
          <w:lang w:eastAsia="en-US"/>
        </w:rPr>
      </w:pPr>
      <w:hyperlink w:anchor="_Toc68610474" w:history="1">
        <w:r w:rsidRPr="00A74C15">
          <w:rPr>
            <w:rStyle w:val="Hyperlink"/>
            <w:noProof/>
          </w:rPr>
          <w:t>Observation 5</w:t>
        </w:r>
        <w:r>
          <w:rPr>
            <w:rFonts w:asciiTheme="minorHAnsi" w:eastAsiaTheme="minorEastAsia" w:hAnsiTheme="minorHAnsi"/>
            <w:b w:val="0"/>
            <w:noProof/>
            <w:sz w:val="22"/>
            <w:lang w:eastAsia="en-US"/>
          </w:rPr>
          <w:tab/>
        </w:r>
        <w:r w:rsidRPr="00A74C15">
          <w:rPr>
            <w:rStyle w:val="Hyperlink"/>
            <w:noProof/>
          </w:rPr>
          <w:t>Alt 1A or Alt 2 with small Y values places stringent limitations on how the network can configure PDCCH monitoring occasions: forcing USS to be aligned closely with the CSS. It substantially suppresses the network’s potential to optimize the various requirements from different UEs and the network in terms of capabilities, latency requirements and PDCCH resource capacities.</w:t>
        </w:r>
      </w:hyperlink>
    </w:p>
    <w:p w14:paraId="42A52E74" w14:textId="77777777" w:rsidR="00CE0733" w:rsidRDefault="00CE0733">
      <w:pPr>
        <w:pStyle w:val="TableofFigures"/>
        <w:tabs>
          <w:tab w:val="right" w:leader="dot" w:pos="9629"/>
        </w:tabs>
        <w:rPr>
          <w:rFonts w:asciiTheme="minorHAnsi" w:eastAsiaTheme="minorEastAsia" w:hAnsiTheme="minorHAnsi"/>
          <w:b w:val="0"/>
          <w:noProof/>
          <w:sz w:val="22"/>
          <w:lang w:eastAsia="en-US"/>
        </w:rPr>
      </w:pPr>
      <w:hyperlink w:anchor="_Toc68610475" w:history="1">
        <w:r w:rsidRPr="00A74C15">
          <w:rPr>
            <w:rStyle w:val="Hyperlink"/>
            <w:noProof/>
          </w:rPr>
          <w:t>Observation 6</w:t>
        </w:r>
        <w:r>
          <w:rPr>
            <w:rFonts w:asciiTheme="minorHAnsi" w:eastAsiaTheme="minorEastAsia" w:hAnsiTheme="minorHAnsi"/>
            <w:b w:val="0"/>
            <w:noProof/>
            <w:sz w:val="22"/>
            <w:lang w:eastAsia="en-US"/>
          </w:rPr>
          <w:tab/>
        </w:r>
        <w:r w:rsidRPr="00A74C15">
          <w:rPr>
            <w:rStyle w:val="Hyperlink"/>
            <w:noProof/>
          </w:rP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hyperlink>
    </w:p>
    <w:p w14:paraId="55F3FFFD" w14:textId="77777777" w:rsidR="00CE0733" w:rsidRDefault="00CE0733">
      <w:pPr>
        <w:pStyle w:val="TableofFigures"/>
        <w:tabs>
          <w:tab w:val="right" w:leader="dot" w:pos="9629"/>
        </w:tabs>
        <w:rPr>
          <w:rFonts w:asciiTheme="minorHAnsi" w:eastAsiaTheme="minorEastAsia" w:hAnsiTheme="minorHAnsi"/>
          <w:b w:val="0"/>
          <w:noProof/>
          <w:sz w:val="22"/>
          <w:lang w:eastAsia="en-US"/>
        </w:rPr>
      </w:pPr>
      <w:hyperlink w:anchor="_Toc68610476" w:history="1">
        <w:r w:rsidRPr="00A74C15">
          <w:rPr>
            <w:rStyle w:val="Hyperlink"/>
            <w:noProof/>
          </w:rPr>
          <w:t>Observation 7</w:t>
        </w:r>
        <w:r>
          <w:rPr>
            <w:rFonts w:asciiTheme="minorHAnsi" w:eastAsiaTheme="minorEastAsia" w:hAnsiTheme="minorHAnsi"/>
            <w:b w:val="0"/>
            <w:noProof/>
            <w:sz w:val="22"/>
            <w:lang w:eastAsia="en-US"/>
          </w:rPr>
          <w:tab/>
        </w:r>
        <w:r w:rsidRPr="00A74C15">
          <w:rPr>
            <w:rStyle w:val="Hyperlink"/>
            <w:noProof/>
          </w:rPr>
          <w:t>Alt 2 may also require additional PDCCH processing load restriction/checking as Alt 1B. Further clarification from the proponent companies are needed.</w:t>
        </w:r>
      </w:hyperlink>
    </w:p>
    <w:p w14:paraId="0CB083AD" w14:textId="77777777" w:rsidR="00CE0733" w:rsidRDefault="00CE0733">
      <w:pPr>
        <w:pStyle w:val="TableofFigures"/>
        <w:tabs>
          <w:tab w:val="right" w:leader="dot" w:pos="9629"/>
        </w:tabs>
        <w:rPr>
          <w:rFonts w:asciiTheme="minorHAnsi" w:eastAsiaTheme="minorEastAsia" w:hAnsiTheme="minorHAnsi"/>
          <w:b w:val="0"/>
          <w:noProof/>
          <w:sz w:val="22"/>
          <w:lang w:eastAsia="en-US"/>
        </w:rPr>
      </w:pPr>
      <w:hyperlink w:anchor="_Toc68610477" w:history="1">
        <w:r w:rsidRPr="00A74C15">
          <w:rPr>
            <w:rStyle w:val="Hyperlink"/>
            <w:noProof/>
          </w:rPr>
          <w:t>Observation 8</w:t>
        </w:r>
        <w:r>
          <w:rPr>
            <w:rFonts w:asciiTheme="minorHAnsi" w:eastAsiaTheme="minorEastAsia" w:hAnsiTheme="minorHAnsi"/>
            <w:b w:val="0"/>
            <w:noProof/>
            <w:sz w:val="22"/>
            <w:lang w:eastAsia="en-US"/>
          </w:rPr>
          <w:tab/>
        </w:r>
        <w:r w:rsidRPr="00A74C15">
          <w:rPr>
            <w:rStyle w:val="Hyperlink"/>
            <w:noProof/>
          </w:rPr>
          <w:t xml:space="preserve">Alt 3 allow the network to flexibly spread the UEs’ N-slot PDCCH processing capabilities, </w:t>
        </w:r>
        <m:oMath>
          <m:r>
            <m:rPr>
              <m:sty m:val="bi"/>
            </m:rPr>
            <w:rPr>
              <w:rStyle w:val="Hyperlink"/>
              <w:rFonts w:ascii="Cambria Math" w:hAnsi="Cambria Math"/>
              <w:noProof/>
            </w:rPr>
            <m:t>MN</m:t>
          </m:r>
          <m:r>
            <m:rPr>
              <m:nor/>
            </m:rPr>
            <w:rPr>
              <w:rStyle w:val="Hyperlink"/>
              <w:rFonts w:ascii="Cambria Math" w:hAnsi="Cambria Math"/>
              <w:noProof/>
            </w:rPr>
            <m:t>-slot</m:t>
          </m:r>
        </m:oMath>
        <w:r w:rsidRPr="00A74C15">
          <w:rPr>
            <w:rStyle w:val="Hyperlink"/>
            <w:noProof/>
          </w:rPr>
          <w:t>, over the N-slot span (for example, all in one slot or over several slots) to optimize the various requirements from different UEs and network in terms of capabilities, latency requirements, PDCCH resource capacities and power savings.</w:t>
        </w:r>
      </w:hyperlink>
    </w:p>
    <w:p w14:paraId="6AB83380" w14:textId="77777777" w:rsidR="00CE0733" w:rsidRDefault="00CE0733">
      <w:pPr>
        <w:pStyle w:val="TableofFigures"/>
        <w:tabs>
          <w:tab w:val="right" w:leader="dot" w:pos="9629"/>
        </w:tabs>
        <w:rPr>
          <w:rFonts w:asciiTheme="minorHAnsi" w:eastAsiaTheme="minorEastAsia" w:hAnsiTheme="minorHAnsi"/>
          <w:b w:val="0"/>
          <w:noProof/>
          <w:sz w:val="22"/>
          <w:lang w:eastAsia="en-US"/>
        </w:rPr>
      </w:pPr>
      <w:hyperlink w:anchor="_Toc68610478" w:history="1">
        <w:r w:rsidRPr="00A74C15">
          <w:rPr>
            <w:rStyle w:val="Hyperlink"/>
            <w:noProof/>
          </w:rPr>
          <w:t>Observation 9</w:t>
        </w:r>
        <w:r>
          <w:rPr>
            <w:rFonts w:asciiTheme="minorHAnsi" w:eastAsiaTheme="minorEastAsia" w:hAnsiTheme="minorHAnsi"/>
            <w:b w:val="0"/>
            <w:noProof/>
            <w:sz w:val="22"/>
            <w:lang w:eastAsia="en-US"/>
          </w:rPr>
          <w:tab/>
        </w:r>
        <w:r w:rsidRPr="00A74C15">
          <w:rPr>
            <w:rStyle w:val="Hyperlink"/>
            <w:noProof/>
          </w:rPr>
          <w:t>For Rel-17 UE with multi-slot PDCCH processing capabilities, overbooking and PDCCH dropping rules similar to those for Rel-15 can be considered:</w:t>
        </w:r>
      </w:hyperlink>
    </w:p>
    <w:p w14:paraId="379CA36C" w14:textId="77777777" w:rsidR="00CE0733" w:rsidRDefault="00CE0733" w:rsidP="00CE0733">
      <w:pPr>
        <w:pStyle w:val="TableofFigures"/>
        <w:tabs>
          <w:tab w:val="right" w:leader="dot" w:pos="9629"/>
        </w:tabs>
        <w:ind w:left="2160" w:hanging="441"/>
        <w:rPr>
          <w:rFonts w:asciiTheme="minorHAnsi" w:eastAsiaTheme="minorEastAsia" w:hAnsiTheme="minorHAnsi"/>
          <w:b w:val="0"/>
          <w:noProof/>
          <w:sz w:val="22"/>
          <w:lang w:eastAsia="en-US"/>
        </w:rPr>
      </w:pPr>
      <w:hyperlink w:anchor="_Toc68610479" w:history="1">
        <w:r w:rsidRPr="00A74C15">
          <w:rPr>
            <w:rStyle w:val="Hyperlink"/>
            <w:rFonts w:ascii="Courier New" w:hAnsi="Courier New" w:cs="Courier New"/>
            <w:noProof/>
          </w:rPr>
          <w:t>o</w:t>
        </w:r>
        <w:r>
          <w:rPr>
            <w:rFonts w:asciiTheme="minorHAnsi" w:eastAsiaTheme="minorEastAsia" w:hAnsiTheme="minorHAnsi"/>
            <w:b w:val="0"/>
            <w:noProof/>
            <w:sz w:val="22"/>
            <w:lang w:eastAsia="en-US"/>
          </w:rPr>
          <w:tab/>
        </w:r>
        <w:r w:rsidRPr="00A74C15">
          <w:rPr>
            <w:rStyle w:val="Hyperlink"/>
            <w:noProof/>
          </w:rPr>
          <w:t>Overbooking is not allowed for CSS.</w:t>
        </w:r>
      </w:hyperlink>
    </w:p>
    <w:p w14:paraId="0F362B9F" w14:textId="77777777" w:rsidR="00CE0733" w:rsidRDefault="00CE0733" w:rsidP="00CE0733">
      <w:pPr>
        <w:pStyle w:val="TableofFigures"/>
        <w:tabs>
          <w:tab w:val="right" w:leader="dot" w:pos="9629"/>
        </w:tabs>
        <w:ind w:left="2160" w:hanging="441"/>
        <w:rPr>
          <w:rFonts w:asciiTheme="minorHAnsi" w:eastAsiaTheme="minorEastAsia" w:hAnsiTheme="minorHAnsi"/>
          <w:b w:val="0"/>
          <w:noProof/>
          <w:sz w:val="22"/>
          <w:lang w:eastAsia="en-US"/>
        </w:rPr>
      </w:pPr>
      <w:hyperlink w:anchor="_Toc68610480" w:history="1">
        <w:r w:rsidRPr="00A74C15">
          <w:rPr>
            <w:rStyle w:val="Hyperlink"/>
            <w:rFonts w:ascii="Courier New" w:hAnsi="Courier New" w:cs="Courier New"/>
            <w:noProof/>
          </w:rPr>
          <w:t>o</w:t>
        </w:r>
        <w:r>
          <w:rPr>
            <w:rFonts w:asciiTheme="minorHAnsi" w:eastAsiaTheme="minorEastAsia" w:hAnsiTheme="minorHAnsi"/>
            <w:b w:val="0"/>
            <w:noProof/>
            <w:sz w:val="22"/>
            <w:lang w:eastAsia="en-US"/>
          </w:rPr>
          <w:tab/>
        </w:r>
        <w:r w:rsidRPr="00A74C15">
          <w:rPr>
            <w:rStyle w:val="Hyperlink"/>
            <w:noProof/>
          </w:rPr>
          <w:t>Overbooking is not allowed for SCells.</w:t>
        </w:r>
      </w:hyperlink>
    </w:p>
    <w:p w14:paraId="2C342DE2" w14:textId="77777777" w:rsidR="00CE0733" w:rsidRDefault="00CE0733" w:rsidP="00CE0733">
      <w:pPr>
        <w:pStyle w:val="TableofFigures"/>
        <w:tabs>
          <w:tab w:val="right" w:leader="dot" w:pos="9629"/>
        </w:tabs>
        <w:ind w:left="2160" w:hanging="441"/>
        <w:rPr>
          <w:rFonts w:asciiTheme="minorHAnsi" w:eastAsiaTheme="minorEastAsia" w:hAnsiTheme="minorHAnsi"/>
          <w:b w:val="0"/>
          <w:noProof/>
          <w:sz w:val="22"/>
          <w:lang w:eastAsia="en-US"/>
        </w:rPr>
      </w:pPr>
      <w:hyperlink w:anchor="_Toc68610481" w:history="1">
        <w:r w:rsidRPr="00A74C15">
          <w:rPr>
            <w:rStyle w:val="Hyperlink"/>
            <w:rFonts w:ascii="Courier New" w:hAnsi="Courier New" w:cs="Courier New"/>
            <w:noProof/>
          </w:rPr>
          <w:t>o</w:t>
        </w:r>
        <w:r>
          <w:rPr>
            <w:rFonts w:asciiTheme="minorHAnsi" w:eastAsiaTheme="minorEastAsia" w:hAnsiTheme="minorHAnsi"/>
            <w:b w:val="0"/>
            <w:noProof/>
            <w:sz w:val="22"/>
            <w:lang w:eastAsia="en-US"/>
          </w:rPr>
          <w:tab/>
        </w:r>
        <w:r w:rsidRPr="00A74C15">
          <w:rPr>
            <w:rStyle w:val="Hyperlink"/>
            <w:noProof/>
          </w:rPr>
          <w:t>For the PCell, a window of N slots sliding forward in time is checked one sliding position at a time (indexed by the slot number of its first slot).</w:t>
        </w:r>
      </w:hyperlink>
    </w:p>
    <w:p w14:paraId="68D0F6A3" w14:textId="77777777" w:rsidR="00CE0733" w:rsidRDefault="00CE0733" w:rsidP="00CE0733">
      <w:pPr>
        <w:pStyle w:val="TableofFigures"/>
        <w:tabs>
          <w:tab w:val="right" w:leader="dot" w:pos="9629"/>
        </w:tabs>
        <w:ind w:left="2520" w:hanging="360"/>
        <w:rPr>
          <w:rFonts w:asciiTheme="minorHAnsi" w:eastAsiaTheme="minorEastAsia" w:hAnsiTheme="minorHAnsi"/>
          <w:b w:val="0"/>
          <w:noProof/>
          <w:sz w:val="22"/>
          <w:lang w:eastAsia="en-US"/>
        </w:rPr>
      </w:pPr>
      <w:hyperlink w:anchor="_Toc68610482" w:history="1">
        <w:r w:rsidRPr="00A74C15">
          <w:rPr>
            <w:rStyle w:val="Hyperlink"/>
            <w:rFonts w:ascii="Wingdings" w:hAnsi="Wingdings"/>
            <w:noProof/>
          </w:rPr>
          <w:t></w:t>
        </w:r>
        <w:r>
          <w:rPr>
            <w:rFonts w:asciiTheme="minorHAnsi" w:eastAsiaTheme="minorEastAsia" w:hAnsiTheme="minorHAnsi"/>
            <w:b w:val="0"/>
            <w:noProof/>
            <w:sz w:val="22"/>
            <w:lang w:eastAsia="en-US"/>
          </w:rPr>
          <w:tab/>
        </w:r>
        <w:r w:rsidRPr="00A74C15">
          <w:rPr>
            <w:rStyle w:val="Hyperlink"/>
            <w:noProof/>
          </w:rPr>
          <w:t>For a sliding window at a given position, the USS are considered one at a time based on their ID.</w:t>
        </w:r>
      </w:hyperlink>
    </w:p>
    <w:p w14:paraId="3392CC9E" w14:textId="77777777" w:rsidR="00CE0733" w:rsidRDefault="00CE0733" w:rsidP="00CE0733">
      <w:pPr>
        <w:pStyle w:val="TableofFigures"/>
        <w:tabs>
          <w:tab w:val="right" w:leader="dot" w:pos="9629"/>
        </w:tabs>
        <w:ind w:left="2520" w:hanging="360"/>
        <w:rPr>
          <w:rFonts w:asciiTheme="minorHAnsi" w:eastAsiaTheme="minorEastAsia" w:hAnsiTheme="minorHAnsi"/>
          <w:b w:val="0"/>
          <w:noProof/>
          <w:sz w:val="22"/>
          <w:lang w:eastAsia="en-US"/>
        </w:rPr>
      </w:pPr>
      <w:hyperlink w:anchor="_Toc68610483" w:history="1">
        <w:r w:rsidRPr="00A74C15">
          <w:rPr>
            <w:rStyle w:val="Hyperlink"/>
            <w:rFonts w:ascii="Wingdings" w:hAnsi="Wingdings"/>
            <w:noProof/>
          </w:rPr>
          <w:t></w:t>
        </w:r>
        <w:r>
          <w:rPr>
            <w:rFonts w:asciiTheme="minorHAnsi" w:eastAsiaTheme="minorEastAsia" w:hAnsiTheme="minorHAnsi"/>
            <w:b w:val="0"/>
            <w:noProof/>
            <w:sz w:val="22"/>
            <w:lang w:eastAsia="en-US"/>
          </w:rPr>
          <w:tab/>
        </w:r>
        <w:r w:rsidRPr="00A74C15">
          <w:rPr>
            <w:rStyle w:val="Hyperlink"/>
            <w:noProof/>
          </w:rPr>
          <w:t>Furthermore, if a monitoring occasion in a later position of the sliding window overlaps the same dropped monitoring occasion from an earlier position of the window, the monitoring occasion remains as dropped.</w:t>
        </w:r>
      </w:hyperlink>
    </w:p>
    <w:p w14:paraId="31CCC653" w14:textId="21C0977A" w:rsidR="00394451" w:rsidRDefault="00D3526E" w:rsidP="00394451">
      <w:pPr>
        <w:pStyle w:val="BodyText"/>
      </w:pPr>
      <w:r w:rsidRPr="00D3526E">
        <w:fldChar w:fldCharType="end"/>
      </w:r>
      <w:r w:rsidR="00394451" w:rsidRPr="00CE0424">
        <w:t xml:space="preserve">Based on the discussion in </w:t>
      </w:r>
      <w:r w:rsidR="00394451">
        <w:t xml:space="preserve">the previous </w:t>
      </w:r>
      <w:r w:rsidR="00394451" w:rsidRPr="00CE0424">
        <w:t>section</w:t>
      </w:r>
      <w:r w:rsidR="00394451">
        <w:t>s</w:t>
      </w:r>
      <w:r w:rsidR="00394451" w:rsidRPr="00CE0424">
        <w:t xml:space="preserve"> we propose the following:</w:t>
      </w:r>
    </w:p>
    <w:p w14:paraId="7B7D0DEA" w14:textId="77777777" w:rsidR="008510A0" w:rsidRDefault="00394451">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68183792" w:history="1">
        <w:r w:rsidR="008510A0" w:rsidRPr="006F4C51">
          <w:rPr>
            <w:rStyle w:val="Hyperlink"/>
            <w:noProof/>
          </w:rPr>
          <w:t>Proposal 1</w:t>
        </w:r>
        <w:r w:rsidR="008510A0">
          <w:rPr>
            <w:rFonts w:asciiTheme="minorHAnsi" w:eastAsiaTheme="minorEastAsia" w:hAnsiTheme="minorHAnsi"/>
            <w:b w:val="0"/>
            <w:noProof/>
            <w:sz w:val="22"/>
            <w:lang w:eastAsia="en-US"/>
          </w:rPr>
          <w:tab/>
        </w:r>
        <w:r w:rsidR="008510A0" w:rsidRPr="006F4C51">
          <w:rPr>
            <w:rStyle w:val="Hyperlink"/>
            <w:rFonts w:cs="Arial"/>
            <w:noProof/>
            <w:lang w:eastAsia="x-none"/>
          </w:rPr>
          <w:t>Solutions to support multi-slot PDCCH monitoring for Rel-17 NR should consider the benefits and impacts to both UEs and gNBs</w:t>
        </w:r>
        <w:r w:rsidR="008510A0" w:rsidRPr="006F4C51">
          <w:rPr>
            <w:rStyle w:val="Hyperlink"/>
            <w:noProof/>
          </w:rPr>
          <w:t xml:space="preserve">. The solutions shall allow the network to distribute the </w:t>
        </w:r>
        <w:r w:rsidR="008510A0" w:rsidRPr="006F4C51">
          <w:rPr>
            <w:rStyle w:val="Hyperlink"/>
            <w:rFonts w:cs="Arial"/>
            <w:noProof/>
            <w:lang w:eastAsia="x-none"/>
          </w:rPr>
          <w:t xml:space="preserve">multi-slot </w:t>
        </w:r>
        <w:r w:rsidR="008510A0" w:rsidRPr="006F4C51">
          <w:rPr>
            <w:rStyle w:val="Hyperlink"/>
            <w:noProof/>
          </w:rPr>
          <w:t>PDCCH monitoring/processing loads for different types of UEs flexibly across the multiple slots.</w:t>
        </w:r>
      </w:hyperlink>
    </w:p>
    <w:p w14:paraId="078BCC50" w14:textId="4571A2CC" w:rsidR="008510A0" w:rsidRDefault="008510A0">
      <w:pPr>
        <w:pStyle w:val="TableofFigures"/>
        <w:tabs>
          <w:tab w:val="right" w:leader="dot" w:pos="9629"/>
        </w:tabs>
        <w:rPr>
          <w:rFonts w:asciiTheme="minorHAnsi" w:eastAsiaTheme="minorEastAsia" w:hAnsiTheme="minorHAnsi"/>
          <w:b w:val="0"/>
          <w:noProof/>
          <w:sz w:val="22"/>
          <w:lang w:eastAsia="en-US"/>
        </w:rPr>
      </w:pPr>
      <w:hyperlink w:anchor="_Toc68183793" w:history="1">
        <w:r w:rsidRPr="006F4C51">
          <w:rPr>
            <w:rStyle w:val="Hyperlink"/>
            <w:noProof/>
          </w:rPr>
          <w:t>Proposal 2</w:t>
        </w:r>
        <w:r>
          <w:rPr>
            <w:rFonts w:asciiTheme="minorHAnsi" w:eastAsiaTheme="minorEastAsia" w:hAnsiTheme="minorHAnsi"/>
            <w:b w:val="0"/>
            <w:noProof/>
            <w:sz w:val="22"/>
            <w:lang w:eastAsia="en-US"/>
          </w:rPr>
          <w:tab/>
        </w:r>
        <w:r w:rsidRPr="006F4C51">
          <w:rPr>
            <w:rStyle w:val="Hyperlink"/>
            <w:noProof/>
          </w:rPr>
          <w:t xml:space="preserve">A first approach to define the UE PDCCH processing capabilities when PDCCH monitoring per multiple slots is deployed for larger SCS is to scale the UE PDCCH processing capabilities per </w:t>
        </w:r>
        <m:oMath>
          <m:r>
            <m:rPr>
              <m:sty m:val="b"/>
            </m:rPr>
            <w:rPr>
              <w:rStyle w:val="Hyperlink"/>
              <w:rFonts w:ascii="Cambria Math" w:hAnsi="Cambria Math"/>
              <w:noProof/>
            </w:rPr>
            <m:t>B</m:t>
          </m:r>
        </m:oMath>
        <w:r w:rsidRPr="006F4C51">
          <w:rPr>
            <w:rStyle w:val="Hyperlink"/>
            <w:noProof/>
          </w:rPr>
          <w:t xml:space="preserve"> slots with the bundle size B. That is, the bundled UE PDCCH processing capabilities</w:t>
        </w:r>
        <w:r w:rsidR="00CE0733">
          <w:rPr>
            <w:rStyle w:val="Hyperlink"/>
            <w:noProof/>
          </w:rPr>
          <w:t xml:space="preserve"> </w:t>
        </w:r>
        <w:r w:rsidR="00CE0733">
          <w:t xml:space="preserve">are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i"/>
            </m:rPr>
            <w:rPr>
              <w:rFonts w:ascii="Cambria Math" w:hAnsi="Cambria Math"/>
            </w:rPr>
            <m:t>≅B×</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
                </m:rPr>
                <w:rPr>
                  <w:rFonts w:ascii="Cambria Math" w:hAnsi="Cambria Math"/>
                </w:rPr>
                <m:t>slot</m:t>
              </m:r>
            </m:sup>
          </m:sSubSup>
        </m:oMath>
        <w:r w:rsidR="00CE0733">
          <w:rPr>
            <w:rFonts w:eastAsiaTheme="minorEastAsia"/>
          </w:rPr>
          <w:t xml:space="preserve"> and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
            </m:rPr>
            <w:rPr>
              <w:rFonts w:ascii="Cambria Math" w:hAnsi="Cambria Math"/>
            </w:rPr>
            <m:t>≅</m:t>
          </m:r>
          <m:r>
            <m:rPr>
              <m:sty m:val="bi"/>
            </m:rPr>
            <w:rPr>
              <w:rFonts w:ascii="Cambria Math" w:hAnsi="Cambria Math"/>
            </w:rPr>
            <m:t>B</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
                </m:rPr>
                <w:rPr>
                  <w:rFonts w:ascii="Cambria Math" w:hAnsi="Cambria Math"/>
                </w:rPr>
                <m:t>slot</m:t>
              </m:r>
            </m:sup>
          </m:sSubSup>
        </m:oMath>
        <w:r w:rsidRPr="006F4C51">
          <w:rPr>
            <w:rStyle w:val="Hyperlink"/>
            <w:noProof/>
          </w:rPr>
          <w:t>.</w:t>
        </w:r>
      </w:hyperlink>
    </w:p>
    <w:p w14:paraId="1929C7BF" w14:textId="5B717F26" w:rsidR="008510A0" w:rsidRDefault="008510A0">
      <w:pPr>
        <w:pStyle w:val="TableofFigures"/>
        <w:tabs>
          <w:tab w:val="right" w:leader="dot" w:pos="9629"/>
        </w:tabs>
        <w:rPr>
          <w:rFonts w:asciiTheme="minorHAnsi" w:eastAsiaTheme="minorEastAsia" w:hAnsiTheme="minorHAnsi"/>
          <w:b w:val="0"/>
          <w:noProof/>
          <w:sz w:val="22"/>
          <w:lang w:eastAsia="en-US"/>
        </w:rPr>
      </w:pPr>
      <w:hyperlink w:anchor="_Toc68183794" w:history="1">
        <w:r w:rsidRPr="006F4C51">
          <w:rPr>
            <w:rStyle w:val="Hyperlink"/>
            <w:noProof/>
          </w:rPr>
          <w:t>Proposal 3</w:t>
        </w:r>
        <w:r>
          <w:rPr>
            <w:rFonts w:asciiTheme="minorHAnsi" w:eastAsiaTheme="minorEastAsia" w:hAnsiTheme="minorHAnsi"/>
            <w:b w:val="0"/>
            <w:noProof/>
            <w:sz w:val="22"/>
            <w:lang w:eastAsia="en-US"/>
          </w:rPr>
          <w:tab/>
        </w:r>
        <w:r w:rsidRPr="006F4C51">
          <w:rPr>
            <w:rStyle w:val="Hyperlink"/>
            <w:noProof/>
          </w:rPr>
          <w:t>A second approach to define the bundled UE PDCCH processing capabilities when PDCCH monitoring per multiple slots is deployed for larger SCS with a PDCCH monitoring frequency equal to that of 120 kHz SCS is to maintain the same UE processing capabilities per-slot as in a 120 kHz SCS system. That is, the bundled UE PDCCH processing capabilities</w:t>
        </w:r>
        <w:r w:rsidR="00CE0733">
          <w:rPr>
            <w:rStyle w:val="Hyperlink"/>
            <w:noProof/>
          </w:rPr>
          <w:t xml:space="preserve"> </w:t>
        </w:r>
        <w:r w:rsidR="00CE0733">
          <w:t xml:space="preserve">are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 xml:space="preserve"> </m:t>
              </m:r>
              <m:r>
                <m:rPr>
                  <m:sty m:val="b"/>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00CE0733" w:rsidRPr="00527D78">
          <w:rPr>
            <w:rFonts w:eastAsiaTheme="minorEastAsia"/>
          </w:rPr>
          <w:t xml:space="preserve">, </w:t>
        </w:r>
        <w:r w:rsidR="00CE0733">
          <w:rPr>
            <w:rFonts w:eastAsiaTheme="minorEastAsia"/>
          </w:rPr>
          <w:t xml:space="preserve">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Pr="006F4C51">
          <w:rPr>
            <w:rStyle w:val="Hyperlink"/>
            <w:noProof/>
          </w:rPr>
          <w:t>.</w:t>
        </w:r>
      </w:hyperlink>
    </w:p>
    <w:p w14:paraId="72E0A414" w14:textId="4DDF25C0" w:rsidR="008510A0" w:rsidRDefault="008510A0">
      <w:pPr>
        <w:pStyle w:val="TableofFigures"/>
        <w:tabs>
          <w:tab w:val="right" w:leader="dot" w:pos="9629"/>
        </w:tabs>
        <w:rPr>
          <w:rFonts w:asciiTheme="minorHAnsi" w:eastAsiaTheme="minorEastAsia" w:hAnsiTheme="minorHAnsi"/>
          <w:b w:val="0"/>
          <w:noProof/>
          <w:sz w:val="22"/>
          <w:lang w:eastAsia="en-US"/>
        </w:rPr>
      </w:pPr>
      <w:hyperlink w:anchor="_Toc68183795" w:history="1">
        <w:r w:rsidRPr="006F4C51">
          <w:rPr>
            <w:rStyle w:val="Hyperlink"/>
            <w:noProof/>
          </w:rPr>
          <w:t>Proposal 4</w:t>
        </w:r>
        <w:r>
          <w:rPr>
            <w:rFonts w:asciiTheme="minorHAnsi" w:eastAsiaTheme="minorEastAsia" w:hAnsiTheme="minorHAnsi"/>
            <w:b w:val="0"/>
            <w:noProof/>
            <w:sz w:val="22"/>
            <w:lang w:eastAsia="en-US"/>
          </w:rPr>
          <w:tab/>
        </w:r>
        <w:r w:rsidRPr="006F4C51">
          <w:rPr>
            <w:rStyle w:val="Hyperlink"/>
            <w:noProof/>
          </w:rPr>
          <w:t xml:space="preserve">If arbitrary monitoring bundle size of </w:t>
        </w:r>
        <m:oMath>
          <m:r>
            <m:rPr>
              <m:sty m:val="b"/>
            </m:rPr>
            <w:rPr>
              <w:rStyle w:val="Hyperlink"/>
              <w:rFonts w:ascii="Cambria Math" w:hAnsi="Cambria Math"/>
              <w:noProof/>
            </w:rPr>
            <m:t>B</m:t>
          </m:r>
        </m:oMath>
        <w:r w:rsidRPr="006F4C51">
          <w:rPr>
            <w:rStyle w:val="Hyperlink"/>
            <w:noProof/>
          </w:rPr>
          <w:t xml:space="preserve"> is supported for UE capability scaling Option 2, i.e., </w:t>
        </w:r>
        <m:oMath>
          <m:r>
            <m:rPr>
              <m:sty m:val="b"/>
            </m:rPr>
            <w:rPr>
              <w:rStyle w:val="Hyperlink"/>
              <w:rFonts w:ascii="Cambria Math" w:hAnsi="Cambria Math"/>
              <w:noProof/>
            </w:rPr>
            <m:t>B≠4</m:t>
          </m:r>
        </m:oMath>
        <w:r w:rsidRPr="006F4C51">
          <w:rPr>
            <w:rStyle w:val="Hyperlink"/>
            <w:noProof/>
          </w:rPr>
          <w:t xml:space="preserve"> for 480 kHz SCS or </w:t>
        </w:r>
        <m:oMath>
          <m:r>
            <m:rPr>
              <m:sty m:val="b"/>
            </m:rPr>
            <w:rPr>
              <w:rStyle w:val="Hyperlink"/>
              <w:rFonts w:ascii="Cambria Math" w:hAnsi="Cambria Math"/>
              <w:noProof/>
            </w:rPr>
            <m:t>B≠8</m:t>
          </m:r>
        </m:oMath>
        <w:r w:rsidRPr="006F4C51">
          <w:rPr>
            <w:rStyle w:val="Hyperlink"/>
            <w:noProof/>
          </w:rPr>
          <w:t xml:space="preserve"> for 960 kHz SCS are supported, the bundled UE PDCCH processing capabilities are scaled relative to those for the 120 kHz SCS by a factor</w:t>
        </w:r>
        <w:r w:rsidR="00CE0733">
          <w:rPr>
            <w:rStyle w:val="Hyperlink"/>
            <w:noProof/>
          </w:rPr>
          <w:t xml:space="preserve"> </w:t>
        </w:r>
        <w:r w:rsidR="00CE0733">
          <w:t xml:space="preserve">of </w:t>
        </w:r>
        <m:oMath>
          <m:d>
            <m:dPr>
              <m:begChr m:val="⌈"/>
              <m:endChr m:val="⌉"/>
              <m:ctrlPr>
                <w:rPr>
                  <w:rFonts w:ascii="Cambria Math" w:hAnsi="Cambria Math" w:cs="Times New Roman"/>
                  <w:b w:val="0"/>
                  <w:bCs/>
                  <w:i/>
                </w:rPr>
              </m:ctrlPr>
            </m:dPr>
            <m:e>
              <m:f>
                <m:fPr>
                  <m:ctrlPr>
                    <w:rPr>
                      <w:rFonts w:ascii="Cambria Math" w:hAnsi="Cambria Math" w:cs="Times New Roman"/>
                      <w:b w:val="0"/>
                      <w:bCs/>
                      <w:i/>
                    </w:rPr>
                  </m:ctrlPr>
                </m:fPr>
                <m:num>
                  <m:r>
                    <m:rPr>
                      <m:sty m:val="bi"/>
                    </m:rPr>
                    <w:rPr>
                      <w:rFonts w:ascii="Cambria Math" w:hAnsi="Cambria Math" w:cs="Times New Roman"/>
                    </w:rPr>
                    <m:t>B</m:t>
                  </m:r>
                </m:num>
                <m:den>
                  <m:sSup>
                    <m:sSupPr>
                      <m:ctrlPr>
                        <w:rPr>
                          <w:rFonts w:ascii="Cambria Math" w:hAnsi="Cambria Math" w:cs="Times New Roman"/>
                          <w:b w:val="0"/>
                          <w:bCs/>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den>
              </m:f>
            </m:e>
          </m:d>
        </m:oMath>
        <w:r w:rsidRPr="006F4C51">
          <w:rPr>
            <w:rStyle w:val="Hyperlink"/>
            <w:noProof/>
          </w:rPr>
          <w:t>.</w:t>
        </w:r>
      </w:hyperlink>
    </w:p>
    <w:p w14:paraId="322E8AFD" w14:textId="3D448AEC" w:rsidR="00394451" w:rsidRPr="00CE0424" w:rsidRDefault="00394451" w:rsidP="00394451">
      <w:pPr>
        <w:pStyle w:val="BodyText"/>
        <w:rPr>
          <w:b/>
          <w:bCs/>
        </w:rPr>
      </w:pPr>
      <w:r>
        <w:rPr>
          <w:b/>
          <w:bCs/>
        </w:rPr>
        <w:fldChar w:fldCharType="end"/>
      </w:r>
      <w:r w:rsidRPr="00CE0424">
        <w:rPr>
          <w:b/>
          <w:bCs/>
        </w:rPr>
        <w:t xml:space="preserve"> </w:t>
      </w:r>
    </w:p>
    <w:p w14:paraId="3E96C83A" w14:textId="77777777" w:rsidR="00394451" w:rsidRPr="00CE0424" w:rsidRDefault="00394451" w:rsidP="00394451">
      <w:pPr>
        <w:pStyle w:val="Heading1"/>
      </w:pPr>
      <w:bookmarkStart w:id="48" w:name="_In-sequence_SDU_delivery"/>
      <w:bookmarkStart w:id="49" w:name="_Toc67653049"/>
      <w:bookmarkEnd w:id="48"/>
      <w:r w:rsidRPr="00CE0424">
        <w:t>References</w:t>
      </w:r>
      <w:bookmarkEnd w:id="49"/>
    </w:p>
    <w:p w14:paraId="50096CA9" w14:textId="1DEA5D79" w:rsidR="007F69B7" w:rsidRPr="007F69B7" w:rsidRDefault="007F69B7" w:rsidP="007F69B7">
      <w:pPr>
        <w:pStyle w:val="Reference"/>
      </w:pPr>
      <w:bookmarkStart w:id="50" w:name="_Ref61437387"/>
      <w:bookmarkStart w:id="51" w:name="_Ref174151459"/>
      <w:bookmarkStart w:id="52" w:name="_Ref189809556"/>
      <w:r w:rsidRPr="007F69B7">
        <w:t>RP-</w:t>
      </w:r>
      <w:r w:rsidR="00240B19">
        <w:t>20</w:t>
      </w:r>
      <w:r w:rsidRPr="007F69B7">
        <w:t>29</w:t>
      </w:r>
      <w:r w:rsidR="00240B19">
        <w:t>25</w:t>
      </w:r>
      <w:r w:rsidRPr="007F69B7">
        <w:t xml:space="preserve">, </w:t>
      </w:r>
      <w:r w:rsidR="004D0756">
        <w:t>Revised</w:t>
      </w:r>
      <w:r w:rsidRPr="007F69B7">
        <w:t xml:space="preserve"> WID on Extending current NR operation to 71 GHz</w:t>
      </w:r>
      <w:bookmarkEnd w:id="50"/>
    </w:p>
    <w:p w14:paraId="4B7CFDEC" w14:textId="22704A59" w:rsidR="00291B53" w:rsidRPr="00CE0424" w:rsidRDefault="00291B53" w:rsidP="00394451">
      <w:pPr>
        <w:pStyle w:val="Reference"/>
      </w:pPr>
      <w:bookmarkStart w:id="53" w:name="_Ref60826533"/>
      <w:bookmarkEnd w:id="51"/>
      <w:bookmarkEnd w:id="52"/>
      <w:r>
        <w:t>RAN1 #103-e chairman’s notes</w:t>
      </w:r>
      <w:bookmarkEnd w:id="53"/>
    </w:p>
    <w:p w14:paraId="715CA09B" w14:textId="77777777" w:rsidR="003A7EF3" w:rsidRPr="00394451" w:rsidRDefault="003A7EF3" w:rsidP="00394451"/>
    <w:sectPr w:rsidR="003A7EF3" w:rsidRPr="00394451" w:rsidSect="00C473A5">
      <w:headerReference w:type="even" r:id="rId38"/>
      <w:footerReference w:type="default" r:id="rId3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5EBAA" w14:textId="77777777" w:rsidR="00AC177F" w:rsidRDefault="00AC177F">
      <w:r>
        <w:separator/>
      </w:r>
    </w:p>
  </w:endnote>
  <w:endnote w:type="continuationSeparator" w:id="0">
    <w:p w14:paraId="095D324F" w14:textId="77777777" w:rsidR="00AC177F" w:rsidRDefault="00AC177F">
      <w:r>
        <w:continuationSeparator/>
      </w:r>
    </w:p>
  </w:endnote>
  <w:endnote w:type="continuationNotice" w:id="1">
    <w:p w14:paraId="107B5266" w14:textId="77777777" w:rsidR="00AC177F" w:rsidRDefault="00AC17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AC177F" w:rsidRDefault="00AC17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0A26A" w14:textId="77777777" w:rsidR="00AC177F" w:rsidRDefault="00AC177F">
      <w:r>
        <w:separator/>
      </w:r>
    </w:p>
  </w:footnote>
  <w:footnote w:type="continuationSeparator" w:id="0">
    <w:p w14:paraId="39E87103" w14:textId="77777777" w:rsidR="00AC177F" w:rsidRDefault="00AC177F">
      <w:r>
        <w:continuationSeparator/>
      </w:r>
    </w:p>
  </w:footnote>
  <w:footnote w:type="continuationNotice" w:id="1">
    <w:p w14:paraId="4BE9FDBC" w14:textId="77777777" w:rsidR="00AC177F" w:rsidRDefault="00AC17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AC177F" w:rsidRDefault="00AC177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0E9D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9482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DF1326"/>
    <w:multiLevelType w:val="hybridMultilevel"/>
    <w:tmpl w:val="74EE5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550545"/>
    <w:multiLevelType w:val="hybridMultilevel"/>
    <w:tmpl w:val="CA524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2B336C"/>
    <w:multiLevelType w:val="hybridMultilevel"/>
    <w:tmpl w:val="EB1085B6"/>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8" w15:restartNumberingAfterBreak="0">
    <w:nsid w:val="1A7A7FD9"/>
    <w:multiLevelType w:val="multilevel"/>
    <w:tmpl w:val="F014C5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BD6E24"/>
    <w:multiLevelType w:val="hybridMultilevel"/>
    <w:tmpl w:val="3222A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0405F7"/>
    <w:multiLevelType w:val="hybridMultilevel"/>
    <w:tmpl w:val="24D6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4A194F"/>
    <w:multiLevelType w:val="hybridMultilevel"/>
    <w:tmpl w:val="52783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35111C"/>
    <w:multiLevelType w:val="hybridMultilevel"/>
    <w:tmpl w:val="1D162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7B1464"/>
    <w:multiLevelType w:val="hybridMultilevel"/>
    <w:tmpl w:val="823E16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E03D8D"/>
    <w:multiLevelType w:val="hybridMultilevel"/>
    <w:tmpl w:val="1D746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2706A8"/>
    <w:multiLevelType w:val="hybridMultilevel"/>
    <w:tmpl w:val="F06A9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047A50"/>
    <w:multiLevelType w:val="hybridMultilevel"/>
    <w:tmpl w:val="5624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8F386F"/>
    <w:multiLevelType w:val="hybridMultilevel"/>
    <w:tmpl w:val="54548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1F4968"/>
    <w:multiLevelType w:val="hybridMultilevel"/>
    <w:tmpl w:val="D266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559592B"/>
    <w:multiLevelType w:val="hybridMultilevel"/>
    <w:tmpl w:val="0BDA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63C551C"/>
    <w:multiLevelType w:val="hybridMultilevel"/>
    <w:tmpl w:val="A6CA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161724"/>
    <w:multiLevelType w:val="hybridMultilevel"/>
    <w:tmpl w:val="F3163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397133"/>
    <w:multiLevelType w:val="hybridMultilevel"/>
    <w:tmpl w:val="21065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96316FC"/>
    <w:multiLevelType w:val="hybridMultilevel"/>
    <w:tmpl w:val="C0A4DE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F3025F7"/>
    <w:multiLevelType w:val="multilevel"/>
    <w:tmpl w:val="77D007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5"/>
  </w:num>
  <w:num w:numId="3">
    <w:abstractNumId w:val="18"/>
  </w:num>
  <w:num w:numId="4">
    <w:abstractNumId w:val="19"/>
  </w:num>
  <w:num w:numId="5">
    <w:abstractNumId w:val="14"/>
  </w:num>
  <w:num w:numId="6">
    <w:abstractNumId w:val="22"/>
  </w:num>
  <w:num w:numId="7">
    <w:abstractNumId w:val="29"/>
  </w:num>
  <w:num w:numId="8">
    <w:abstractNumId w:val="15"/>
  </w:num>
  <w:num w:numId="9">
    <w:abstractNumId w:val="12"/>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2"/>
  </w:num>
  <w:num w:numId="17">
    <w:abstractNumId w:val="9"/>
  </w:num>
  <w:num w:numId="18">
    <w:abstractNumId w:val="10"/>
  </w:num>
  <w:num w:numId="19">
    <w:abstractNumId w:val="5"/>
  </w:num>
  <w:num w:numId="20">
    <w:abstractNumId w:val="42"/>
  </w:num>
  <w:num w:numId="21">
    <w:abstractNumId w:val="16"/>
  </w:num>
  <w:num w:numId="22">
    <w:abstractNumId w:val="41"/>
  </w:num>
  <w:num w:numId="23">
    <w:abstractNumId w:val="30"/>
  </w:num>
  <w:num w:numId="24">
    <w:abstractNumId w:val="24"/>
  </w:num>
  <w:num w:numId="25">
    <w:abstractNumId w:val="43"/>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39"/>
  </w:num>
  <w:num w:numId="29">
    <w:abstractNumId w:val="13"/>
  </w:num>
  <w:num w:numId="30">
    <w:abstractNumId w:val="34"/>
  </w:num>
  <w:num w:numId="31">
    <w:abstractNumId w:val="4"/>
  </w:num>
  <w:num w:numId="32">
    <w:abstractNumId w:val="6"/>
  </w:num>
  <w:num w:numId="33">
    <w:abstractNumId w:val="37"/>
  </w:num>
  <w:num w:numId="34">
    <w:abstractNumId w:val="33"/>
  </w:num>
  <w:num w:numId="35">
    <w:abstractNumId w:val="36"/>
  </w:num>
  <w:num w:numId="36">
    <w:abstractNumId w:val="4"/>
  </w:num>
  <w:num w:numId="37">
    <w:abstractNumId w:val="6"/>
  </w:num>
  <w:num w:numId="38">
    <w:abstractNumId w:val="37"/>
  </w:num>
  <w:num w:numId="39">
    <w:abstractNumId w:val="33"/>
  </w:num>
  <w:num w:numId="40">
    <w:abstractNumId w:val="36"/>
  </w:num>
  <w:num w:numId="41">
    <w:abstractNumId w:val="38"/>
  </w:num>
  <w:num w:numId="42">
    <w:abstractNumId w:val="31"/>
  </w:num>
  <w:num w:numId="43">
    <w:abstractNumId w:val="40"/>
  </w:num>
  <w:num w:numId="44">
    <w:abstractNumId w:val="23"/>
  </w:num>
  <w:num w:numId="45">
    <w:abstractNumId w:val="7"/>
  </w:num>
  <w:num w:numId="46">
    <w:abstractNumId w:val="17"/>
  </w:num>
  <w:num w:numId="47">
    <w:abstractNumId w:val="35"/>
  </w:num>
  <w:num w:numId="48">
    <w:abstractNumId w:val="20"/>
  </w:num>
  <w:num w:numId="49">
    <w:abstractNumId w:val="8"/>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01"/>
    <w:rsid w:val="00002A37"/>
    <w:rsid w:val="00002C0C"/>
    <w:rsid w:val="00003764"/>
    <w:rsid w:val="00003CC6"/>
    <w:rsid w:val="00004311"/>
    <w:rsid w:val="0000564C"/>
    <w:rsid w:val="00005C57"/>
    <w:rsid w:val="00006175"/>
    <w:rsid w:val="00006446"/>
    <w:rsid w:val="00006464"/>
    <w:rsid w:val="00006896"/>
    <w:rsid w:val="00006A09"/>
    <w:rsid w:val="00007CDC"/>
    <w:rsid w:val="00007FE6"/>
    <w:rsid w:val="00010463"/>
    <w:rsid w:val="00011B28"/>
    <w:rsid w:val="000123B5"/>
    <w:rsid w:val="00012C3F"/>
    <w:rsid w:val="00013671"/>
    <w:rsid w:val="0001424A"/>
    <w:rsid w:val="0001426D"/>
    <w:rsid w:val="00014B54"/>
    <w:rsid w:val="00015582"/>
    <w:rsid w:val="00015D15"/>
    <w:rsid w:val="000160D3"/>
    <w:rsid w:val="0001641B"/>
    <w:rsid w:val="00016680"/>
    <w:rsid w:val="00016E27"/>
    <w:rsid w:val="000171DE"/>
    <w:rsid w:val="00017F45"/>
    <w:rsid w:val="000219BC"/>
    <w:rsid w:val="00024336"/>
    <w:rsid w:val="0002564D"/>
    <w:rsid w:val="00025ECA"/>
    <w:rsid w:val="00026E84"/>
    <w:rsid w:val="0003158D"/>
    <w:rsid w:val="00031EF1"/>
    <w:rsid w:val="00031F7A"/>
    <w:rsid w:val="000325B8"/>
    <w:rsid w:val="00033DC4"/>
    <w:rsid w:val="00034C15"/>
    <w:rsid w:val="00034CB4"/>
    <w:rsid w:val="00034E8C"/>
    <w:rsid w:val="00036BA1"/>
    <w:rsid w:val="00037FD3"/>
    <w:rsid w:val="00040D2D"/>
    <w:rsid w:val="00041101"/>
    <w:rsid w:val="0004112F"/>
    <w:rsid w:val="0004227A"/>
    <w:rsid w:val="000422E2"/>
    <w:rsid w:val="00042F22"/>
    <w:rsid w:val="00043525"/>
    <w:rsid w:val="000436B9"/>
    <w:rsid w:val="0004448E"/>
    <w:rsid w:val="000444EF"/>
    <w:rsid w:val="0004499B"/>
    <w:rsid w:val="00050870"/>
    <w:rsid w:val="00051236"/>
    <w:rsid w:val="000513DC"/>
    <w:rsid w:val="00051C8E"/>
    <w:rsid w:val="00052884"/>
    <w:rsid w:val="00052A07"/>
    <w:rsid w:val="00052D8A"/>
    <w:rsid w:val="00052F71"/>
    <w:rsid w:val="000534E3"/>
    <w:rsid w:val="0005392E"/>
    <w:rsid w:val="00053CB1"/>
    <w:rsid w:val="00054065"/>
    <w:rsid w:val="0005552C"/>
    <w:rsid w:val="0005606A"/>
    <w:rsid w:val="00056542"/>
    <w:rsid w:val="00057117"/>
    <w:rsid w:val="00057EAB"/>
    <w:rsid w:val="0006128E"/>
    <w:rsid w:val="00061511"/>
    <w:rsid w:val="000616E7"/>
    <w:rsid w:val="00062390"/>
    <w:rsid w:val="00062621"/>
    <w:rsid w:val="00062779"/>
    <w:rsid w:val="00062CD2"/>
    <w:rsid w:val="0006487E"/>
    <w:rsid w:val="00064BA3"/>
    <w:rsid w:val="00065E1A"/>
    <w:rsid w:val="0006601C"/>
    <w:rsid w:val="000668C8"/>
    <w:rsid w:val="00066C5C"/>
    <w:rsid w:val="0007391E"/>
    <w:rsid w:val="000758E7"/>
    <w:rsid w:val="00075F91"/>
    <w:rsid w:val="00077E5F"/>
    <w:rsid w:val="00077FE7"/>
    <w:rsid w:val="0008036A"/>
    <w:rsid w:val="00081AE6"/>
    <w:rsid w:val="00082D05"/>
    <w:rsid w:val="0008380F"/>
    <w:rsid w:val="00084201"/>
    <w:rsid w:val="0008555D"/>
    <w:rsid w:val="000855EB"/>
    <w:rsid w:val="00085B52"/>
    <w:rsid w:val="000866F2"/>
    <w:rsid w:val="00086C89"/>
    <w:rsid w:val="0008746D"/>
    <w:rsid w:val="00087D71"/>
    <w:rsid w:val="0009009F"/>
    <w:rsid w:val="00091557"/>
    <w:rsid w:val="000924C1"/>
    <w:rsid w:val="000924F0"/>
    <w:rsid w:val="00093474"/>
    <w:rsid w:val="00093ADF"/>
    <w:rsid w:val="00093D35"/>
    <w:rsid w:val="0009510F"/>
    <w:rsid w:val="00096693"/>
    <w:rsid w:val="00096820"/>
    <w:rsid w:val="00096C47"/>
    <w:rsid w:val="0009739A"/>
    <w:rsid w:val="000974C3"/>
    <w:rsid w:val="000A160D"/>
    <w:rsid w:val="000A1B7B"/>
    <w:rsid w:val="000A212A"/>
    <w:rsid w:val="000A220A"/>
    <w:rsid w:val="000A3142"/>
    <w:rsid w:val="000A33F7"/>
    <w:rsid w:val="000A3A5B"/>
    <w:rsid w:val="000A4CBE"/>
    <w:rsid w:val="000A5595"/>
    <w:rsid w:val="000A56F2"/>
    <w:rsid w:val="000A5AAB"/>
    <w:rsid w:val="000A5F04"/>
    <w:rsid w:val="000A6340"/>
    <w:rsid w:val="000A6C69"/>
    <w:rsid w:val="000A7976"/>
    <w:rsid w:val="000B0077"/>
    <w:rsid w:val="000B0358"/>
    <w:rsid w:val="000B0E34"/>
    <w:rsid w:val="000B2456"/>
    <w:rsid w:val="000B2719"/>
    <w:rsid w:val="000B2746"/>
    <w:rsid w:val="000B2806"/>
    <w:rsid w:val="000B2CC9"/>
    <w:rsid w:val="000B30A4"/>
    <w:rsid w:val="000B38DC"/>
    <w:rsid w:val="000B3A8F"/>
    <w:rsid w:val="000B4AB9"/>
    <w:rsid w:val="000B54B9"/>
    <w:rsid w:val="000B58C3"/>
    <w:rsid w:val="000B5C59"/>
    <w:rsid w:val="000B61E9"/>
    <w:rsid w:val="000B62E5"/>
    <w:rsid w:val="000B7974"/>
    <w:rsid w:val="000C0CF8"/>
    <w:rsid w:val="000C0FB1"/>
    <w:rsid w:val="000C11F1"/>
    <w:rsid w:val="000C12BE"/>
    <w:rsid w:val="000C165A"/>
    <w:rsid w:val="000C2E19"/>
    <w:rsid w:val="000C3FB2"/>
    <w:rsid w:val="000C427C"/>
    <w:rsid w:val="000C4E5A"/>
    <w:rsid w:val="000C4F1D"/>
    <w:rsid w:val="000C5581"/>
    <w:rsid w:val="000C5DC7"/>
    <w:rsid w:val="000C74A5"/>
    <w:rsid w:val="000C7A3E"/>
    <w:rsid w:val="000D022C"/>
    <w:rsid w:val="000D0C6B"/>
    <w:rsid w:val="000D0D07"/>
    <w:rsid w:val="000D1219"/>
    <w:rsid w:val="000D37C0"/>
    <w:rsid w:val="000D4138"/>
    <w:rsid w:val="000D4797"/>
    <w:rsid w:val="000D5A2D"/>
    <w:rsid w:val="000D5D63"/>
    <w:rsid w:val="000D6031"/>
    <w:rsid w:val="000D6E89"/>
    <w:rsid w:val="000D75C7"/>
    <w:rsid w:val="000D7863"/>
    <w:rsid w:val="000E0527"/>
    <w:rsid w:val="000E12D3"/>
    <w:rsid w:val="000E1E92"/>
    <w:rsid w:val="000E2509"/>
    <w:rsid w:val="000E4833"/>
    <w:rsid w:val="000E4FC0"/>
    <w:rsid w:val="000E5233"/>
    <w:rsid w:val="000E5982"/>
    <w:rsid w:val="000E6541"/>
    <w:rsid w:val="000E6F9C"/>
    <w:rsid w:val="000E731E"/>
    <w:rsid w:val="000E7ED2"/>
    <w:rsid w:val="000F0350"/>
    <w:rsid w:val="000F06D6"/>
    <w:rsid w:val="000F0A15"/>
    <w:rsid w:val="000F0DA7"/>
    <w:rsid w:val="000F0EB1"/>
    <w:rsid w:val="000F1106"/>
    <w:rsid w:val="000F1BF3"/>
    <w:rsid w:val="000F2E56"/>
    <w:rsid w:val="000F37A8"/>
    <w:rsid w:val="000F3BE9"/>
    <w:rsid w:val="000F3C19"/>
    <w:rsid w:val="000F3F6C"/>
    <w:rsid w:val="000F437C"/>
    <w:rsid w:val="000F5442"/>
    <w:rsid w:val="000F59A1"/>
    <w:rsid w:val="000F69C8"/>
    <w:rsid w:val="000F6DF3"/>
    <w:rsid w:val="000F731B"/>
    <w:rsid w:val="000F79E0"/>
    <w:rsid w:val="001005FF"/>
    <w:rsid w:val="00100793"/>
    <w:rsid w:val="00100C85"/>
    <w:rsid w:val="00101653"/>
    <w:rsid w:val="00101B29"/>
    <w:rsid w:val="00101F97"/>
    <w:rsid w:val="001025A2"/>
    <w:rsid w:val="00102C86"/>
    <w:rsid w:val="00104B53"/>
    <w:rsid w:val="00104FD6"/>
    <w:rsid w:val="001053E9"/>
    <w:rsid w:val="001062FB"/>
    <w:rsid w:val="001063E6"/>
    <w:rsid w:val="00106E0D"/>
    <w:rsid w:val="00111011"/>
    <w:rsid w:val="0011113E"/>
    <w:rsid w:val="00112F27"/>
    <w:rsid w:val="00113936"/>
    <w:rsid w:val="00113CF4"/>
    <w:rsid w:val="001141D4"/>
    <w:rsid w:val="001149AD"/>
    <w:rsid w:val="00114BC3"/>
    <w:rsid w:val="001153EA"/>
    <w:rsid w:val="00115643"/>
    <w:rsid w:val="0011570C"/>
    <w:rsid w:val="00116765"/>
    <w:rsid w:val="001169FF"/>
    <w:rsid w:val="00117A78"/>
    <w:rsid w:val="00117E0A"/>
    <w:rsid w:val="001202DD"/>
    <w:rsid w:val="001219F5"/>
    <w:rsid w:val="00121A20"/>
    <w:rsid w:val="00122223"/>
    <w:rsid w:val="00122755"/>
    <w:rsid w:val="0012295E"/>
    <w:rsid w:val="00122BB1"/>
    <w:rsid w:val="0012377F"/>
    <w:rsid w:val="00123C95"/>
    <w:rsid w:val="00124314"/>
    <w:rsid w:val="00126B4A"/>
    <w:rsid w:val="00130061"/>
    <w:rsid w:val="00130BA3"/>
    <w:rsid w:val="00130D60"/>
    <w:rsid w:val="001313CD"/>
    <w:rsid w:val="00131677"/>
    <w:rsid w:val="00132FD0"/>
    <w:rsid w:val="001337B4"/>
    <w:rsid w:val="00133B1E"/>
    <w:rsid w:val="00133FAE"/>
    <w:rsid w:val="001344C0"/>
    <w:rsid w:val="001346FA"/>
    <w:rsid w:val="00134BB7"/>
    <w:rsid w:val="00135252"/>
    <w:rsid w:val="00135959"/>
    <w:rsid w:val="00136D7A"/>
    <w:rsid w:val="00137AB5"/>
    <w:rsid w:val="00137F0B"/>
    <w:rsid w:val="0014122C"/>
    <w:rsid w:val="001415B6"/>
    <w:rsid w:val="00142485"/>
    <w:rsid w:val="00142CF5"/>
    <w:rsid w:val="00143A71"/>
    <w:rsid w:val="001458E1"/>
    <w:rsid w:val="0014664F"/>
    <w:rsid w:val="0014781E"/>
    <w:rsid w:val="001511B4"/>
    <w:rsid w:val="00151BD1"/>
    <w:rsid w:val="00151E23"/>
    <w:rsid w:val="001525CD"/>
    <w:rsid w:val="001526E0"/>
    <w:rsid w:val="00152F24"/>
    <w:rsid w:val="001531BD"/>
    <w:rsid w:val="00154667"/>
    <w:rsid w:val="00154B21"/>
    <w:rsid w:val="001551B5"/>
    <w:rsid w:val="00156937"/>
    <w:rsid w:val="00156BC9"/>
    <w:rsid w:val="00157202"/>
    <w:rsid w:val="00157430"/>
    <w:rsid w:val="0016102C"/>
    <w:rsid w:val="00161439"/>
    <w:rsid w:val="00161E98"/>
    <w:rsid w:val="001659C1"/>
    <w:rsid w:val="0016726C"/>
    <w:rsid w:val="00170A7E"/>
    <w:rsid w:val="0017280A"/>
    <w:rsid w:val="00172B09"/>
    <w:rsid w:val="001734AA"/>
    <w:rsid w:val="0017391B"/>
    <w:rsid w:val="00173A8E"/>
    <w:rsid w:val="0017502C"/>
    <w:rsid w:val="00177232"/>
    <w:rsid w:val="0018036F"/>
    <w:rsid w:val="00180B51"/>
    <w:rsid w:val="0018143F"/>
    <w:rsid w:val="00181B7A"/>
    <w:rsid w:val="00181FF8"/>
    <w:rsid w:val="00182B5B"/>
    <w:rsid w:val="00182EF9"/>
    <w:rsid w:val="00183F6D"/>
    <w:rsid w:val="00184217"/>
    <w:rsid w:val="001861F7"/>
    <w:rsid w:val="0018718F"/>
    <w:rsid w:val="001874B0"/>
    <w:rsid w:val="00187826"/>
    <w:rsid w:val="00187902"/>
    <w:rsid w:val="00190AC1"/>
    <w:rsid w:val="00191EEA"/>
    <w:rsid w:val="0019341A"/>
    <w:rsid w:val="00193F5D"/>
    <w:rsid w:val="001940C7"/>
    <w:rsid w:val="001945C3"/>
    <w:rsid w:val="00194A48"/>
    <w:rsid w:val="00196264"/>
    <w:rsid w:val="00197DF9"/>
    <w:rsid w:val="001A01EB"/>
    <w:rsid w:val="001A069B"/>
    <w:rsid w:val="001A1987"/>
    <w:rsid w:val="001A2564"/>
    <w:rsid w:val="001A4F3E"/>
    <w:rsid w:val="001A5050"/>
    <w:rsid w:val="001A6173"/>
    <w:rsid w:val="001A6CBA"/>
    <w:rsid w:val="001B0D97"/>
    <w:rsid w:val="001B227F"/>
    <w:rsid w:val="001B2F23"/>
    <w:rsid w:val="001B5222"/>
    <w:rsid w:val="001B5A5D"/>
    <w:rsid w:val="001B6386"/>
    <w:rsid w:val="001B7635"/>
    <w:rsid w:val="001B7F5D"/>
    <w:rsid w:val="001C0061"/>
    <w:rsid w:val="001C0145"/>
    <w:rsid w:val="001C05BC"/>
    <w:rsid w:val="001C105A"/>
    <w:rsid w:val="001C190F"/>
    <w:rsid w:val="001C1CE5"/>
    <w:rsid w:val="001C2DEF"/>
    <w:rsid w:val="001C3D2A"/>
    <w:rsid w:val="001C4A07"/>
    <w:rsid w:val="001C666F"/>
    <w:rsid w:val="001C6CC0"/>
    <w:rsid w:val="001C6E42"/>
    <w:rsid w:val="001C7A35"/>
    <w:rsid w:val="001D01B7"/>
    <w:rsid w:val="001D192F"/>
    <w:rsid w:val="001D51BA"/>
    <w:rsid w:val="001D53E7"/>
    <w:rsid w:val="001D591C"/>
    <w:rsid w:val="001D609E"/>
    <w:rsid w:val="001D62E4"/>
    <w:rsid w:val="001D6342"/>
    <w:rsid w:val="001D6D53"/>
    <w:rsid w:val="001D7EB5"/>
    <w:rsid w:val="001D7EE0"/>
    <w:rsid w:val="001E178D"/>
    <w:rsid w:val="001E292A"/>
    <w:rsid w:val="001E4709"/>
    <w:rsid w:val="001E4E93"/>
    <w:rsid w:val="001E5033"/>
    <w:rsid w:val="001E58E2"/>
    <w:rsid w:val="001E6007"/>
    <w:rsid w:val="001E780F"/>
    <w:rsid w:val="001E7AED"/>
    <w:rsid w:val="001F0FD1"/>
    <w:rsid w:val="001F1035"/>
    <w:rsid w:val="001F351A"/>
    <w:rsid w:val="001F3916"/>
    <w:rsid w:val="001F4E04"/>
    <w:rsid w:val="001F4F2D"/>
    <w:rsid w:val="001F54C5"/>
    <w:rsid w:val="001F662C"/>
    <w:rsid w:val="001F7074"/>
    <w:rsid w:val="00200490"/>
    <w:rsid w:val="00200730"/>
    <w:rsid w:val="00201F3A"/>
    <w:rsid w:val="00201FB6"/>
    <w:rsid w:val="00203F96"/>
    <w:rsid w:val="0020543C"/>
    <w:rsid w:val="00205582"/>
    <w:rsid w:val="0020658D"/>
    <w:rsid w:val="002069B2"/>
    <w:rsid w:val="00207621"/>
    <w:rsid w:val="00207DB6"/>
    <w:rsid w:val="00207FA3"/>
    <w:rsid w:val="00210749"/>
    <w:rsid w:val="00211B93"/>
    <w:rsid w:val="00212218"/>
    <w:rsid w:val="00212D96"/>
    <w:rsid w:val="00214DA8"/>
    <w:rsid w:val="00215423"/>
    <w:rsid w:val="002158FA"/>
    <w:rsid w:val="002174FB"/>
    <w:rsid w:val="00217807"/>
    <w:rsid w:val="00220600"/>
    <w:rsid w:val="00220791"/>
    <w:rsid w:val="002212F6"/>
    <w:rsid w:val="002224DB"/>
    <w:rsid w:val="00223C1A"/>
    <w:rsid w:val="00223FCB"/>
    <w:rsid w:val="002241FF"/>
    <w:rsid w:val="00224282"/>
    <w:rsid w:val="0022529E"/>
    <w:rsid w:val="002252C3"/>
    <w:rsid w:val="00225C54"/>
    <w:rsid w:val="002276A7"/>
    <w:rsid w:val="0023038B"/>
    <w:rsid w:val="00230765"/>
    <w:rsid w:val="00230D18"/>
    <w:rsid w:val="002319E4"/>
    <w:rsid w:val="00231F08"/>
    <w:rsid w:val="00234F4F"/>
    <w:rsid w:val="00235632"/>
    <w:rsid w:val="00235872"/>
    <w:rsid w:val="00236B44"/>
    <w:rsid w:val="00236E70"/>
    <w:rsid w:val="0024081D"/>
    <w:rsid w:val="00240B19"/>
    <w:rsid w:val="00240DB5"/>
    <w:rsid w:val="00241559"/>
    <w:rsid w:val="002426C2"/>
    <w:rsid w:val="002435B3"/>
    <w:rsid w:val="00243FFE"/>
    <w:rsid w:val="00244781"/>
    <w:rsid w:val="00244847"/>
    <w:rsid w:val="00244E30"/>
    <w:rsid w:val="002458E7"/>
    <w:rsid w:val="002458EB"/>
    <w:rsid w:val="00245A73"/>
    <w:rsid w:val="00246EBA"/>
    <w:rsid w:val="00247AAC"/>
    <w:rsid w:val="0025003E"/>
    <w:rsid w:val="002500C8"/>
    <w:rsid w:val="00250E2B"/>
    <w:rsid w:val="002526E6"/>
    <w:rsid w:val="00253A18"/>
    <w:rsid w:val="00255528"/>
    <w:rsid w:val="002558B9"/>
    <w:rsid w:val="002563CA"/>
    <w:rsid w:val="00256760"/>
    <w:rsid w:val="002568C0"/>
    <w:rsid w:val="00256A57"/>
    <w:rsid w:val="00256AF6"/>
    <w:rsid w:val="00256B1A"/>
    <w:rsid w:val="00257543"/>
    <w:rsid w:val="002617E7"/>
    <w:rsid w:val="00261EC2"/>
    <w:rsid w:val="002622B5"/>
    <w:rsid w:val="00262357"/>
    <w:rsid w:val="002626C6"/>
    <w:rsid w:val="00264228"/>
    <w:rsid w:val="00264334"/>
    <w:rsid w:val="00264457"/>
    <w:rsid w:val="0026463C"/>
    <w:rsid w:val="0026473E"/>
    <w:rsid w:val="00265425"/>
    <w:rsid w:val="00266214"/>
    <w:rsid w:val="00266EEE"/>
    <w:rsid w:val="002673C0"/>
    <w:rsid w:val="00267C83"/>
    <w:rsid w:val="0027144F"/>
    <w:rsid w:val="00271813"/>
    <w:rsid w:val="002718F8"/>
    <w:rsid w:val="00271F3A"/>
    <w:rsid w:val="002729FD"/>
    <w:rsid w:val="00273278"/>
    <w:rsid w:val="002737F4"/>
    <w:rsid w:val="002742A8"/>
    <w:rsid w:val="0027530F"/>
    <w:rsid w:val="0027592C"/>
    <w:rsid w:val="002762C0"/>
    <w:rsid w:val="002765CF"/>
    <w:rsid w:val="0027664B"/>
    <w:rsid w:val="00276A93"/>
    <w:rsid w:val="002805F5"/>
    <w:rsid w:val="00280751"/>
    <w:rsid w:val="00281D02"/>
    <w:rsid w:val="00281D6F"/>
    <w:rsid w:val="00281FC3"/>
    <w:rsid w:val="0028280A"/>
    <w:rsid w:val="00284EE8"/>
    <w:rsid w:val="00285566"/>
    <w:rsid w:val="002856C8"/>
    <w:rsid w:val="00285E08"/>
    <w:rsid w:val="0028615B"/>
    <w:rsid w:val="00286ACD"/>
    <w:rsid w:val="0028772E"/>
    <w:rsid w:val="00287838"/>
    <w:rsid w:val="00290688"/>
    <w:rsid w:val="002907B5"/>
    <w:rsid w:val="00290D35"/>
    <w:rsid w:val="00291856"/>
    <w:rsid w:val="00291B53"/>
    <w:rsid w:val="00291C9C"/>
    <w:rsid w:val="00292EB7"/>
    <w:rsid w:val="0029349D"/>
    <w:rsid w:val="002944EF"/>
    <w:rsid w:val="00294F9D"/>
    <w:rsid w:val="002951D4"/>
    <w:rsid w:val="00295441"/>
    <w:rsid w:val="00296227"/>
    <w:rsid w:val="0029677A"/>
    <w:rsid w:val="00296F44"/>
    <w:rsid w:val="00297372"/>
    <w:rsid w:val="0029777D"/>
    <w:rsid w:val="002A055E"/>
    <w:rsid w:val="002A147A"/>
    <w:rsid w:val="002A14E4"/>
    <w:rsid w:val="002A1D4E"/>
    <w:rsid w:val="002A2869"/>
    <w:rsid w:val="002A2ABF"/>
    <w:rsid w:val="002A4046"/>
    <w:rsid w:val="002A4098"/>
    <w:rsid w:val="002A5585"/>
    <w:rsid w:val="002A5973"/>
    <w:rsid w:val="002B24D6"/>
    <w:rsid w:val="002B2945"/>
    <w:rsid w:val="002B3ADB"/>
    <w:rsid w:val="002B5821"/>
    <w:rsid w:val="002B5BD3"/>
    <w:rsid w:val="002B5BDD"/>
    <w:rsid w:val="002B6213"/>
    <w:rsid w:val="002B63EB"/>
    <w:rsid w:val="002B7484"/>
    <w:rsid w:val="002B7CA5"/>
    <w:rsid w:val="002C05F9"/>
    <w:rsid w:val="002C0636"/>
    <w:rsid w:val="002C23A9"/>
    <w:rsid w:val="002C23E9"/>
    <w:rsid w:val="002C3D47"/>
    <w:rsid w:val="002C41E6"/>
    <w:rsid w:val="002C47DC"/>
    <w:rsid w:val="002C607D"/>
    <w:rsid w:val="002C72BD"/>
    <w:rsid w:val="002D071A"/>
    <w:rsid w:val="002D08C0"/>
    <w:rsid w:val="002D0D13"/>
    <w:rsid w:val="002D2441"/>
    <w:rsid w:val="002D2D12"/>
    <w:rsid w:val="002D34B2"/>
    <w:rsid w:val="002D47A4"/>
    <w:rsid w:val="002D48B0"/>
    <w:rsid w:val="002D4F5B"/>
    <w:rsid w:val="002D5B37"/>
    <w:rsid w:val="002D6802"/>
    <w:rsid w:val="002D6C4C"/>
    <w:rsid w:val="002D6FE4"/>
    <w:rsid w:val="002D726F"/>
    <w:rsid w:val="002D7637"/>
    <w:rsid w:val="002E0FB4"/>
    <w:rsid w:val="002E144E"/>
    <w:rsid w:val="002E17F2"/>
    <w:rsid w:val="002E451E"/>
    <w:rsid w:val="002E4F57"/>
    <w:rsid w:val="002E7CAE"/>
    <w:rsid w:val="002F127F"/>
    <w:rsid w:val="002F13E4"/>
    <w:rsid w:val="002F2771"/>
    <w:rsid w:val="002F37A9"/>
    <w:rsid w:val="002F3D2D"/>
    <w:rsid w:val="002F491D"/>
    <w:rsid w:val="002F4C0A"/>
    <w:rsid w:val="002F4C68"/>
    <w:rsid w:val="002F5459"/>
    <w:rsid w:val="002F6210"/>
    <w:rsid w:val="003001A1"/>
    <w:rsid w:val="00301CE6"/>
    <w:rsid w:val="003021B7"/>
    <w:rsid w:val="0030256B"/>
    <w:rsid w:val="0030268D"/>
    <w:rsid w:val="0030275E"/>
    <w:rsid w:val="00302BBB"/>
    <w:rsid w:val="00303974"/>
    <w:rsid w:val="00303F42"/>
    <w:rsid w:val="0030425B"/>
    <w:rsid w:val="0030501F"/>
    <w:rsid w:val="00305A70"/>
    <w:rsid w:val="00305C09"/>
    <w:rsid w:val="00307BA1"/>
    <w:rsid w:val="00307D89"/>
    <w:rsid w:val="00311702"/>
    <w:rsid w:val="00311752"/>
    <w:rsid w:val="00311C3C"/>
    <w:rsid w:val="00311E82"/>
    <w:rsid w:val="00312533"/>
    <w:rsid w:val="00313FD6"/>
    <w:rsid w:val="003143BD"/>
    <w:rsid w:val="00314DD9"/>
    <w:rsid w:val="00315363"/>
    <w:rsid w:val="0031582C"/>
    <w:rsid w:val="00315FB6"/>
    <w:rsid w:val="00317899"/>
    <w:rsid w:val="003203ED"/>
    <w:rsid w:val="00322C9F"/>
    <w:rsid w:val="0032365E"/>
    <w:rsid w:val="0032479F"/>
    <w:rsid w:val="00324D23"/>
    <w:rsid w:val="003253B6"/>
    <w:rsid w:val="003255F6"/>
    <w:rsid w:val="00326802"/>
    <w:rsid w:val="003279DE"/>
    <w:rsid w:val="0033091A"/>
    <w:rsid w:val="00330D08"/>
    <w:rsid w:val="00331751"/>
    <w:rsid w:val="00331AFD"/>
    <w:rsid w:val="003325A4"/>
    <w:rsid w:val="003328CA"/>
    <w:rsid w:val="00332C63"/>
    <w:rsid w:val="00333473"/>
    <w:rsid w:val="00334579"/>
    <w:rsid w:val="00335858"/>
    <w:rsid w:val="00335ABF"/>
    <w:rsid w:val="003364B4"/>
    <w:rsid w:val="00336BDA"/>
    <w:rsid w:val="0033745D"/>
    <w:rsid w:val="003406EA"/>
    <w:rsid w:val="00342BD7"/>
    <w:rsid w:val="00343325"/>
    <w:rsid w:val="00343CC8"/>
    <w:rsid w:val="00344657"/>
    <w:rsid w:val="00345087"/>
    <w:rsid w:val="003450C3"/>
    <w:rsid w:val="003464D9"/>
    <w:rsid w:val="00346DB5"/>
    <w:rsid w:val="00346E89"/>
    <w:rsid w:val="003474E0"/>
    <w:rsid w:val="003477B1"/>
    <w:rsid w:val="0034795D"/>
    <w:rsid w:val="00351900"/>
    <w:rsid w:val="00354F11"/>
    <w:rsid w:val="00355601"/>
    <w:rsid w:val="00356BA0"/>
    <w:rsid w:val="00357380"/>
    <w:rsid w:val="003574B6"/>
    <w:rsid w:val="00357C5C"/>
    <w:rsid w:val="003602D9"/>
    <w:rsid w:val="003604CE"/>
    <w:rsid w:val="00360561"/>
    <w:rsid w:val="00360CAC"/>
    <w:rsid w:val="00361B2F"/>
    <w:rsid w:val="003621A8"/>
    <w:rsid w:val="00362B21"/>
    <w:rsid w:val="00364C22"/>
    <w:rsid w:val="00365362"/>
    <w:rsid w:val="00365766"/>
    <w:rsid w:val="00365D42"/>
    <w:rsid w:val="003671FD"/>
    <w:rsid w:val="00370E47"/>
    <w:rsid w:val="0037214E"/>
    <w:rsid w:val="00372355"/>
    <w:rsid w:val="00372B66"/>
    <w:rsid w:val="003742AC"/>
    <w:rsid w:val="00377127"/>
    <w:rsid w:val="00377CE1"/>
    <w:rsid w:val="00380062"/>
    <w:rsid w:val="00380A7E"/>
    <w:rsid w:val="003826D7"/>
    <w:rsid w:val="00385BF0"/>
    <w:rsid w:val="00386836"/>
    <w:rsid w:val="00390B31"/>
    <w:rsid w:val="003939FF"/>
    <w:rsid w:val="00394451"/>
    <w:rsid w:val="003948E4"/>
    <w:rsid w:val="00395471"/>
    <w:rsid w:val="0039591B"/>
    <w:rsid w:val="00395A52"/>
    <w:rsid w:val="00396161"/>
    <w:rsid w:val="003963E6"/>
    <w:rsid w:val="00396784"/>
    <w:rsid w:val="00396D18"/>
    <w:rsid w:val="003970C9"/>
    <w:rsid w:val="003A06F5"/>
    <w:rsid w:val="003A078A"/>
    <w:rsid w:val="003A15D5"/>
    <w:rsid w:val="003A165F"/>
    <w:rsid w:val="003A18AE"/>
    <w:rsid w:val="003A2223"/>
    <w:rsid w:val="003A2A0F"/>
    <w:rsid w:val="003A45A1"/>
    <w:rsid w:val="003A4A18"/>
    <w:rsid w:val="003A559F"/>
    <w:rsid w:val="003A58B8"/>
    <w:rsid w:val="003A5B0A"/>
    <w:rsid w:val="003A60C9"/>
    <w:rsid w:val="003A657B"/>
    <w:rsid w:val="003A6BAC"/>
    <w:rsid w:val="003A6C6C"/>
    <w:rsid w:val="003A6F2A"/>
    <w:rsid w:val="003A70A4"/>
    <w:rsid w:val="003A7218"/>
    <w:rsid w:val="003A7693"/>
    <w:rsid w:val="003A7B3F"/>
    <w:rsid w:val="003A7E24"/>
    <w:rsid w:val="003A7EF3"/>
    <w:rsid w:val="003B1465"/>
    <w:rsid w:val="003B159C"/>
    <w:rsid w:val="003B21B4"/>
    <w:rsid w:val="003B2611"/>
    <w:rsid w:val="003B2D4B"/>
    <w:rsid w:val="003B369F"/>
    <w:rsid w:val="003B36A3"/>
    <w:rsid w:val="003B3F2F"/>
    <w:rsid w:val="003B4071"/>
    <w:rsid w:val="003B64BB"/>
    <w:rsid w:val="003B6A09"/>
    <w:rsid w:val="003B6F0C"/>
    <w:rsid w:val="003B7247"/>
    <w:rsid w:val="003B741F"/>
    <w:rsid w:val="003B7FE5"/>
    <w:rsid w:val="003C03D7"/>
    <w:rsid w:val="003C10FF"/>
    <w:rsid w:val="003C11C8"/>
    <w:rsid w:val="003C2702"/>
    <w:rsid w:val="003C3C1B"/>
    <w:rsid w:val="003C69DC"/>
    <w:rsid w:val="003C6A3F"/>
    <w:rsid w:val="003C7478"/>
    <w:rsid w:val="003C7806"/>
    <w:rsid w:val="003C7D9D"/>
    <w:rsid w:val="003D0D7A"/>
    <w:rsid w:val="003D109F"/>
    <w:rsid w:val="003D1AC4"/>
    <w:rsid w:val="003D1BF0"/>
    <w:rsid w:val="003D1D40"/>
    <w:rsid w:val="003D2478"/>
    <w:rsid w:val="003D3790"/>
    <w:rsid w:val="003D3C45"/>
    <w:rsid w:val="003D4A07"/>
    <w:rsid w:val="003D5B1F"/>
    <w:rsid w:val="003D629D"/>
    <w:rsid w:val="003D6D51"/>
    <w:rsid w:val="003D6FBD"/>
    <w:rsid w:val="003D7F0C"/>
    <w:rsid w:val="003E0AB4"/>
    <w:rsid w:val="003E15FA"/>
    <w:rsid w:val="003E1F05"/>
    <w:rsid w:val="003E33A4"/>
    <w:rsid w:val="003E419F"/>
    <w:rsid w:val="003E44A9"/>
    <w:rsid w:val="003E51D0"/>
    <w:rsid w:val="003E55E4"/>
    <w:rsid w:val="003E5FB9"/>
    <w:rsid w:val="003E6BA4"/>
    <w:rsid w:val="003E6D92"/>
    <w:rsid w:val="003E74E3"/>
    <w:rsid w:val="003E7A8E"/>
    <w:rsid w:val="003F058F"/>
    <w:rsid w:val="003F05C7"/>
    <w:rsid w:val="003F1DBF"/>
    <w:rsid w:val="003F2CD4"/>
    <w:rsid w:val="003F335B"/>
    <w:rsid w:val="003F37CC"/>
    <w:rsid w:val="003F38A6"/>
    <w:rsid w:val="003F38EF"/>
    <w:rsid w:val="003F3B8D"/>
    <w:rsid w:val="003F68A4"/>
    <w:rsid w:val="003F6BBE"/>
    <w:rsid w:val="003F726D"/>
    <w:rsid w:val="003F755F"/>
    <w:rsid w:val="003F77F7"/>
    <w:rsid w:val="004000E8"/>
    <w:rsid w:val="00402E2B"/>
    <w:rsid w:val="00403D9F"/>
    <w:rsid w:val="0040512B"/>
    <w:rsid w:val="00405CA5"/>
    <w:rsid w:val="00407998"/>
    <w:rsid w:val="00407CD3"/>
    <w:rsid w:val="00410134"/>
    <w:rsid w:val="00410ADF"/>
    <w:rsid w:val="00410B72"/>
    <w:rsid w:val="00410F18"/>
    <w:rsid w:val="00412551"/>
    <w:rsid w:val="0041263E"/>
    <w:rsid w:val="00413AAC"/>
    <w:rsid w:val="00413E92"/>
    <w:rsid w:val="004140BC"/>
    <w:rsid w:val="00415139"/>
    <w:rsid w:val="00416521"/>
    <w:rsid w:val="00417A26"/>
    <w:rsid w:val="00420286"/>
    <w:rsid w:val="00421105"/>
    <w:rsid w:val="0042235D"/>
    <w:rsid w:val="00422AA4"/>
    <w:rsid w:val="004242F4"/>
    <w:rsid w:val="00425073"/>
    <w:rsid w:val="004252DC"/>
    <w:rsid w:val="00425DA9"/>
    <w:rsid w:val="00426599"/>
    <w:rsid w:val="00427248"/>
    <w:rsid w:val="0042749C"/>
    <w:rsid w:val="00430AB1"/>
    <w:rsid w:val="00430D07"/>
    <w:rsid w:val="00431787"/>
    <w:rsid w:val="00433124"/>
    <w:rsid w:val="00437447"/>
    <w:rsid w:val="004407C5"/>
    <w:rsid w:val="00440E41"/>
    <w:rsid w:val="00441A92"/>
    <w:rsid w:val="00441EC3"/>
    <w:rsid w:val="00442DCD"/>
    <w:rsid w:val="00442EF2"/>
    <w:rsid w:val="004431DC"/>
    <w:rsid w:val="00444F56"/>
    <w:rsid w:val="0044529B"/>
    <w:rsid w:val="00446488"/>
    <w:rsid w:val="004477CF"/>
    <w:rsid w:val="00450955"/>
    <w:rsid w:val="004517AA"/>
    <w:rsid w:val="00451D12"/>
    <w:rsid w:val="004527D3"/>
    <w:rsid w:val="00452CAC"/>
    <w:rsid w:val="00454245"/>
    <w:rsid w:val="00455883"/>
    <w:rsid w:val="00457565"/>
    <w:rsid w:val="00457B71"/>
    <w:rsid w:val="004613D3"/>
    <w:rsid w:val="004617AD"/>
    <w:rsid w:val="004630E1"/>
    <w:rsid w:val="00463E2C"/>
    <w:rsid w:val="00464689"/>
    <w:rsid w:val="00466578"/>
    <w:rsid w:val="00466685"/>
    <w:rsid w:val="004669E2"/>
    <w:rsid w:val="00467125"/>
    <w:rsid w:val="00467E72"/>
    <w:rsid w:val="00470C31"/>
    <w:rsid w:val="00471DAD"/>
    <w:rsid w:val="00471DE0"/>
    <w:rsid w:val="004734D0"/>
    <w:rsid w:val="0047449F"/>
    <w:rsid w:val="0047556B"/>
    <w:rsid w:val="00475907"/>
    <w:rsid w:val="00475AD3"/>
    <w:rsid w:val="00477768"/>
    <w:rsid w:val="004809F7"/>
    <w:rsid w:val="00480AAD"/>
    <w:rsid w:val="00481F5D"/>
    <w:rsid w:val="0048244E"/>
    <w:rsid w:val="00483275"/>
    <w:rsid w:val="0048328D"/>
    <w:rsid w:val="00483540"/>
    <w:rsid w:val="00483970"/>
    <w:rsid w:val="00483A57"/>
    <w:rsid w:val="00485C24"/>
    <w:rsid w:val="00486B4D"/>
    <w:rsid w:val="00487CEA"/>
    <w:rsid w:val="0049069B"/>
    <w:rsid w:val="0049101D"/>
    <w:rsid w:val="00491393"/>
    <w:rsid w:val="00492BC5"/>
    <w:rsid w:val="00493333"/>
    <w:rsid w:val="0049391E"/>
    <w:rsid w:val="00494205"/>
    <w:rsid w:val="004947E3"/>
    <w:rsid w:val="004960D4"/>
    <w:rsid w:val="004964F1"/>
    <w:rsid w:val="00497C8E"/>
    <w:rsid w:val="004A0D58"/>
    <w:rsid w:val="004A146C"/>
    <w:rsid w:val="004A16BC"/>
    <w:rsid w:val="004A16F3"/>
    <w:rsid w:val="004A18C8"/>
    <w:rsid w:val="004A2404"/>
    <w:rsid w:val="004A2B94"/>
    <w:rsid w:val="004A5C69"/>
    <w:rsid w:val="004A64DA"/>
    <w:rsid w:val="004A7CDE"/>
    <w:rsid w:val="004B0058"/>
    <w:rsid w:val="004B09D9"/>
    <w:rsid w:val="004B16C7"/>
    <w:rsid w:val="004B2FC0"/>
    <w:rsid w:val="004B3692"/>
    <w:rsid w:val="004B6F6A"/>
    <w:rsid w:val="004B70C2"/>
    <w:rsid w:val="004B72E1"/>
    <w:rsid w:val="004B74EF"/>
    <w:rsid w:val="004B7C0C"/>
    <w:rsid w:val="004B7DDD"/>
    <w:rsid w:val="004C00A9"/>
    <w:rsid w:val="004C2910"/>
    <w:rsid w:val="004C3898"/>
    <w:rsid w:val="004C430C"/>
    <w:rsid w:val="004C4EC6"/>
    <w:rsid w:val="004C570A"/>
    <w:rsid w:val="004C6812"/>
    <w:rsid w:val="004C700E"/>
    <w:rsid w:val="004D0013"/>
    <w:rsid w:val="004D0756"/>
    <w:rsid w:val="004D0B89"/>
    <w:rsid w:val="004D119C"/>
    <w:rsid w:val="004D15CC"/>
    <w:rsid w:val="004D1929"/>
    <w:rsid w:val="004D36B1"/>
    <w:rsid w:val="004D3D72"/>
    <w:rsid w:val="004D3F96"/>
    <w:rsid w:val="004D43C7"/>
    <w:rsid w:val="004D5762"/>
    <w:rsid w:val="004D5D08"/>
    <w:rsid w:val="004D6AF6"/>
    <w:rsid w:val="004D753F"/>
    <w:rsid w:val="004D7D04"/>
    <w:rsid w:val="004D7DFF"/>
    <w:rsid w:val="004D7EBD"/>
    <w:rsid w:val="004E00FA"/>
    <w:rsid w:val="004E05D9"/>
    <w:rsid w:val="004E092A"/>
    <w:rsid w:val="004E095A"/>
    <w:rsid w:val="004E2680"/>
    <w:rsid w:val="004E28F9"/>
    <w:rsid w:val="004E462E"/>
    <w:rsid w:val="004E50D9"/>
    <w:rsid w:val="004E5118"/>
    <w:rsid w:val="004E5229"/>
    <w:rsid w:val="004E566F"/>
    <w:rsid w:val="004E56DC"/>
    <w:rsid w:val="004E5E07"/>
    <w:rsid w:val="004E637E"/>
    <w:rsid w:val="004E6636"/>
    <w:rsid w:val="004E6713"/>
    <w:rsid w:val="004E68F1"/>
    <w:rsid w:val="004E76F4"/>
    <w:rsid w:val="004F0B4E"/>
    <w:rsid w:val="004F0B6C"/>
    <w:rsid w:val="004F0F61"/>
    <w:rsid w:val="004F0FFF"/>
    <w:rsid w:val="004F2078"/>
    <w:rsid w:val="004F2E9C"/>
    <w:rsid w:val="004F3C55"/>
    <w:rsid w:val="004F4DA3"/>
    <w:rsid w:val="004F4FBB"/>
    <w:rsid w:val="004F6CB0"/>
    <w:rsid w:val="00501C87"/>
    <w:rsid w:val="005040FB"/>
    <w:rsid w:val="0050435B"/>
    <w:rsid w:val="00504E37"/>
    <w:rsid w:val="00506557"/>
    <w:rsid w:val="0050677A"/>
    <w:rsid w:val="00510473"/>
    <w:rsid w:val="005108D8"/>
    <w:rsid w:val="00510E31"/>
    <w:rsid w:val="005116F9"/>
    <w:rsid w:val="00512561"/>
    <w:rsid w:val="00512A74"/>
    <w:rsid w:val="00514B2A"/>
    <w:rsid w:val="005153A7"/>
    <w:rsid w:val="00515624"/>
    <w:rsid w:val="00515A66"/>
    <w:rsid w:val="00516D47"/>
    <w:rsid w:val="005200B7"/>
    <w:rsid w:val="00520B86"/>
    <w:rsid w:val="00520C04"/>
    <w:rsid w:val="005219CF"/>
    <w:rsid w:val="00523270"/>
    <w:rsid w:val="00523ED4"/>
    <w:rsid w:val="00524AE2"/>
    <w:rsid w:val="00525556"/>
    <w:rsid w:val="0052578F"/>
    <w:rsid w:val="005261B5"/>
    <w:rsid w:val="00526707"/>
    <w:rsid w:val="00526F58"/>
    <w:rsid w:val="00527D78"/>
    <w:rsid w:val="005311BA"/>
    <w:rsid w:val="00531B37"/>
    <w:rsid w:val="00531BB2"/>
    <w:rsid w:val="005332B1"/>
    <w:rsid w:val="00534B59"/>
    <w:rsid w:val="005363A7"/>
    <w:rsid w:val="00536759"/>
    <w:rsid w:val="00537C62"/>
    <w:rsid w:val="00537EBE"/>
    <w:rsid w:val="005403DA"/>
    <w:rsid w:val="00540420"/>
    <w:rsid w:val="005404D3"/>
    <w:rsid w:val="0054255F"/>
    <w:rsid w:val="00544C5F"/>
    <w:rsid w:val="00545054"/>
    <w:rsid w:val="00545DBC"/>
    <w:rsid w:val="00546970"/>
    <w:rsid w:val="00546E6E"/>
    <w:rsid w:val="0054791A"/>
    <w:rsid w:val="00552960"/>
    <w:rsid w:val="00552FA0"/>
    <w:rsid w:val="00553425"/>
    <w:rsid w:val="00553B17"/>
    <w:rsid w:val="00554A34"/>
    <w:rsid w:val="00554E19"/>
    <w:rsid w:val="005571F9"/>
    <w:rsid w:val="00557FBD"/>
    <w:rsid w:val="00560D6F"/>
    <w:rsid w:val="0056121F"/>
    <w:rsid w:val="0056378E"/>
    <w:rsid w:val="00563FE0"/>
    <w:rsid w:val="00564C5A"/>
    <w:rsid w:val="0056577C"/>
    <w:rsid w:val="0056639F"/>
    <w:rsid w:val="0056767A"/>
    <w:rsid w:val="00571272"/>
    <w:rsid w:val="00571CDF"/>
    <w:rsid w:val="00572505"/>
    <w:rsid w:val="00574CA8"/>
    <w:rsid w:val="00576555"/>
    <w:rsid w:val="00576C04"/>
    <w:rsid w:val="00577224"/>
    <w:rsid w:val="00577865"/>
    <w:rsid w:val="00577A1D"/>
    <w:rsid w:val="0058137E"/>
    <w:rsid w:val="00582809"/>
    <w:rsid w:val="00585B82"/>
    <w:rsid w:val="00585CB4"/>
    <w:rsid w:val="00585DB0"/>
    <w:rsid w:val="00586915"/>
    <w:rsid w:val="00586C42"/>
    <w:rsid w:val="00586E84"/>
    <w:rsid w:val="0058798C"/>
    <w:rsid w:val="005900FA"/>
    <w:rsid w:val="00591A94"/>
    <w:rsid w:val="00591BBF"/>
    <w:rsid w:val="00591CEA"/>
    <w:rsid w:val="005935A4"/>
    <w:rsid w:val="0059373F"/>
    <w:rsid w:val="00594704"/>
    <w:rsid w:val="005948C2"/>
    <w:rsid w:val="00594E07"/>
    <w:rsid w:val="00595552"/>
    <w:rsid w:val="00595DCA"/>
    <w:rsid w:val="00596A94"/>
    <w:rsid w:val="00596DC9"/>
    <w:rsid w:val="00596F01"/>
    <w:rsid w:val="005974DC"/>
    <w:rsid w:val="0059779B"/>
    <w:rsid w:val="005A10E3"/>
    <w:rsid w:val="005A1F5D"/>
    <w:rsid w:val="005A209A"/>
    <w:rsid w:val="005A2347"/>
    <w:rsid w:val="005A2B2C"/>
    <w:rsid w:val="005A3566"/>
    <w:rsid w:val="005A43B2"/>
    <w:rsid w:val="005A662D"/>
    <w:rsid w:val="005A78B1"/>
    <w:rsid w:val="005A7C28"/>
    <w:rsid w:val="005B1409"/>
    <w:rsid w:val="005B16CB"/>
    <w:rsid w:val="005B18D0"/>
    <w:rsid w:val="005B262A"/>
    <w:rsid w:val="005B2F85"/>
    <w:rsid w:val="005B31F4"/>
    <w:rsid w:val="005B35D7"/>
    <w:rsid w:val="005B392A"/>
    <w:rsid w:val="005B3AA3"/>
    <w:rsid w:val="005B3CF2"/>
    <w:rsid w:val="005B435E"/>
    <w:rsid w:val="005B4684"/>
    <w:rsid w:val="005B4FAA"/>
    <w:rsid w:val="005B615A"/>
    <w:rsid w:val="005B6228"/>
    <w:rsid w:val="005B63FC"/>
    <w:rsid w:val="005B6F83"/>
    <w:rsid w:val="005C0EA0"/>
    <w:rsid w:val="005C1D4E"/>
    <w:rsid w:val="005C335B"/>
    <w:rsid w:val="005C3DB5"/>
    <w:rsid w:val="005C4841"/>
    <w:rsid w:val="005C74FB"/>
    <w:rsid w:val="005D004D"/>
    <w:rsid w:val="005D1602"/>
    <w:rsid w:val="005D39BF"/>
    <w:rsid w:val="005D5CFB"/>
    <w:rsid w:val="005D61ED"/>
    <w:rsid w:val="005D6F8F"/>
    <w:rsid w:val="005D7632"/>
    <w:rsid w:val="005D793C"/>
    <w:rsid w:val="005E112D"/>
    <w:rsid w:val="005E3525"/>
    <w:rsid w:val="005E385F"/>
    <w:rsid w:val="005E5B81"/>
    <w:rsid w:val="005E66EB"/>
    <w:rsid w:val="005E69D8"/>
    <w:rsid w:val="005E7F6C"/>
    <w:rsid w:val="005F0654"/>
    <w:rsid w:val="005F0D75"/>
    <w:rsid w:val="005F1DD2"/>
    <w:rsid w:val="005F2CB1"/>
    <w:rsid w:val="005F3025"/>
    <w:rsid w:val="005F312B"/>
    <w:rsid w:val="005F32AF"/>
    <w:rsid w:val="005F34EF"/>
    <w:rsid w:val="005F42E1"/>
    <w:rsid w:val="005F4FA9"/>
    <w:rsid w:val="005F618C"/>
    <w:rsid w:val="005F6834"/>
    <w:rsid w:val="005F70BD"/>
    <w:rsid w:val="00600323"/>
    <w:rsid w:val="006009A4"/>
    <w:rsid w:val="00601D9A"/>
    <w:rsid w:val="00601EFA"/>
    <w:rsid w:val="0060283C"/>
    <w:rsid w:val="00602B7C"/>
    <w:rsid w:val="00603287"/>
    <w:rsid w:val="006039AD"/>
    <w:rsid w:val="006049D5"/>
    <w:rsid w:val="00604F14"/>
    <w:rsid w:val="0060608E"/>
    <w:rsid w:val="00606401"/>
    <w:rsid w:val="006068C9"/>
    <w:rsid w:val="00606CFB"/>
    <w:rsid w:val="006076DC"/>
    <w:rsid w:val="00607AC6"/>
    <w:rsid w:val="0061069E"/>
    <w:rsid w:val="006108FB"/>
    <w:rsid w:val="00610F19"/>
    <w:rsid w:val="00611775"/>
    <w:rsid w:val="00611941"/>
    <w:rsid w:val="00611B83"/>
    <w:rsid w:val="006125C0"/>
    <w:rsid w:val="00613257"/>
    <w:rsid w:val="006151A3"/>
    <w:rsid w:val="006158BB"/>
    <w:rsid w:val="006164D0"/>
    <w:rsid w:val="0061667E"/>
    <w:rsid w:val="006173A4"/>
    <w:rsid w:val="00617912"/>
    <w:rsid w:val="00620129"/>
    <w:rsid w:val="00620A71"/>
    <w:rsid w:val="00620D80"/>
    <w:rsid w:val="00622164"/>
    <w:rsid w:val="00622344"/>
    <w:rsid w:val="00622601"/>
    <w:rsid w:val="00622A08"/>
    <w:rsid w:val="00622BE3"/>
    <w:rsid w:val="006234A6"/>
    <w:rsid w:val="006249E3"/>
    <w:rsid w:val="006271FB"/>
    <w:rsid w:val="00630001"/>
    <w:rsid w:val="006311B3"/>
    <w:rsid w:val="006313FC"/>
    <w:rsid w:val="0063284C"/>
    <w:rsid w:val="00632A5F"/>
    <w:rsid w:val="00635250"/>
    <w:rsid w:val="00635575"/>
    <w:rsid w:val="00635D16"/>
    <w:rsid w:val="00635D96"/>
    <w:rsid w:val="006362A4"/>
    <w:rsid w:val="00636398"/>
    <w:rsid w:val="006368D3"/>
    <w:rsid w:val="00636C93"/>
    <w:rsid w:val="006377EC"/>
    <w:rsid w:val="0064053B"/>
    <w:rsid w:val="00640ED8"/>
    <w:rsid w:val="0064151F"/>
    <w:rsid w:val="00641533"/>
    <w:rsid w:val="00641970"/>
    <w:rsid w:val="0064208D"/>
    <w:rsid w:val="00642FEE"/>
    <w:rsid w:val="0064310B"/>
    <w:rsid w:val="00643475"/>
    <w:rsid w:val="0064396A"/>
    <w:rsid w:val="00643BB3"/>
    <w:rsid w:val="0064519C"/>
    <w:rsid w:val="0064550B"/>
    <w:rsid w:val="0064624E"/>
    <w:rsid w:val="00650AB9"/>
    <w:rsid w:val="0065121A"/>
    <w:rsid w:val="0065209D"/>
    <w:rsid w:val="00652228"/>
    <w:rsid w:val="00653C3F"/>
    <w:rsid w:val="00654E4A"/>
    <w:rsid w:val="00655733"/>
    <w:rsid w:val="0065579E"/>
    <w:rsid w:val="00655ACD"/>
    <w:rsid w:val="00655EB6"/>
    <w:rsid w:val="006563F7"/>
    <w:rsid w:val="00656A92"/>
    <w:rsid w:val="00656DDE"/>
    <w:rsid w:val="0066011D"/>
    <w:rsid w:val="006607C0"/>
    <w:rsid w:val="00660D9C"/>
    <w:rsid w:val="006613A6"/>
    <w:rsid w:val="00661900"/>
    <w:rsid w:val="00661B57"/>
    <w:rsid w:val="00662625"/>
    <w:rsid w:val="0066271E"/>
    <w:rsid w:val="006627A2"/>
    <w:rsid w:val="00663182"/>
    <w:rsid w:val="006634E6"/>
    <w:rsid w:val="0066360D"/>
    <w:rsid w:val="006642D4"/>
    <w:rsid w:val="006655EE"/>
    <w:rsid w:val="00667DC6"/>
    <w:rsid w:val="00667EE7"/>
    <w:rsid w:val="00670922"/>
    <w:rsid w:val="00670BE1"/>
    <w:rsid w:val="00670C1F"/>
    <w:rsid w:val="00670C80"/>
    <w:rsid w:val="0067147A"/>
    <w:rsid w:val="00671D1C"/>
    <w:rsid w:val="0067218F"/>
    <w:rsid w:val="006741F2"/>
    <w:rsid w:val="0067435B"/>
    <w:rsid w:val="00674CC3"/>
    <w:rsid w:val="00675C72"/>
    <w:rsid w:val="00675F35"/>
    <w:rsid w:val="006763F1"/>
    <w:rsid w:val="0067695C"/>
    <w:rsid w:val="0067697F"/>
    <w:rsid w:val="00676AFA"/>
    <w:rsid w:val="006771F9"/>
    <w:rsid w:val="006776D7"/>
    <w:rsid w:val="00680EBA"/>
    <w:rsid w:val="00681003"/>
    <w:rsid w:val="00681501"/>
    <w:rsid w:val="006817C9"/>
    <w:rsid w:val="006819F9"/>
    <w:rsid w:val="00682FF5"/>
    <w:rsid w:val="00683ECE"/>
    <w:rsid w:val="00684D94"/>
    <w:rsid w:val="00685D26"/>
    <w:rsid w:val="0069038E"/>
    <w:rsid w:val="00691154"/>
    <w:rsid w:val="00691CA5"/>
    <w:rsid w:val="00692D2D"/>
    <w:rsid w:val="0069448F"/>
    <w:rsid w:val="00695FC2"/>
    <w:rsid w:val="006960D3"/>
    <w:rsid w:val="00696949"/>
    <w:rsid w:val="00696C75"/>
    <w:rsid w:val="00696FE0"/>
    <w:rsid w:val="00697052"/>
    <w:rsid w:val="00697683"/>
    <w:rsid w:val="00697E8F"/>
    <w:rsid w:val="006A263D"/>
    <w:rsid w:val="006A30B6"/>
    <w:rsid w:val="006A3B7F"/>
    <w:rsid w:val="006A46FB"/>
    <w:rsid w:val="006A5959"/>
    <w:rsid w:val="006A5E28"/>
    <w:rsid w:val="006A61DC"/>
    <w:rsid w:val="006A697B"/>
    <w:rsid w:val="006A6C55"/>
    <w:rsid w:val="006A712B"/>
    <w:rsid w:val="006A7AFF"/>
    <w:rsid w:val="006A7BCD"/>
    <w:rsid w:val="006B0A03"/>
    <w:rsid w:val="006B10D0"/>
    <w:rsid w:val="006B16DE"/>
    <w:rsid w:val="006B1816"/>
    <w:rsid w:val="006B2099"/>
    <w:rsid w:val="006B4612"/>
    <w:rsid w:val="006B4EAD"/>
    <w:rsid w:val="006B50CF"/>
    <w:rsid w:val="006B6642"/>
    <w:rsid w:val="006C03B8"/>
    <w:rsid w:val="006C0A5A"/>
    <w:rsid w:val="006C296B"/>
    <w:rsid w:val="006C2FE5"/>
    <w:rsid w:val="006C4449"/>
    <w:rsid w:val="006C4C67"/>
    <w:rsid w:val="006C5EC9"/>
    <w:rsid w:val="006C6059"/>
    <w:rsid w:val="006C6540"/>
    <w:rsid w:val="006C6658"/>
    <w:rsid w:val="006C6750"/>
    <w:rsid w:val="006C7522"/>
    <w:rsid w:val="006D00C3"/>
    <w:rsid w:val="006D0AA2"/>
    <w:rsid w:val="006D2855"/>
    <w:rsid w:val="006D28B7"/>
    <w:rsid w:val="006D418E"/>
    <w:rsid w:val="006D4673"/>
    <w:rsid w:val="006D6F08"/>
    <w:rsid w:val="006D7EFB"/>
    <w:rsid w:val="006E062C"/>
    <w:rsid w:val="006E0E1C"/>
    <w:rsid w:val="006E1C82"/>
    <w:rsid w:val="006E28B7"/>
    <w:rsid w:val="006E2A9B"/>
    <w:rsid w:val="006E3310"/>
    <w:rsid w:val="006E3515"/>
    <w:rsid w:val="006E4E39"/>
    <w:rsid w:val="006E565E"/>
    <w:rsid w:val="006E5D92"/>
    <w:rsid w:val="006E66E3"/>
    <w:rsid w:val="006E673D"/>
    <w:rsid w:val="006E6980"/>
    <w:rsid w:val="006E6F5F"/>
    <w:rsid w:val="006E7D3B"/>
    <w:rsid w:val="006F0903"/>
    <w:rsid w:val="006F1A0F"/>
    <w:rsid w:val="006F1B70"/>
    <w:rsid w:val="006F26BE"/>
    <w:rsid w:val="006F341D"/>
    <w:rsid w:val="006F356A"/>
    <w:rsid w:val="006F3A1C"/>
    <w:rsid w:val="006F3CDE"/>
    <w:rsid w:val="006F464C"/>
    <w:rsid w:val="006F58D4"/>
    <w:rsid w:val="006F6582"/>
    <w:rsid w:val="006F6C01"/>
    <w:rsid w:val="00700962"/>
    <w:rsid w:val="0070173F"/>
    <w:rsid w:val="0070346E"/>
    <w:rsid w:val="00703DE2"/>
    <w:rsid w:val="007040D4"/>
    <w:rsid w:val="00704A79"/>
    <w:rsid w:val="00704EDB"/>
    <w:rsid w:val="0070595C"/>
    <w:rsid w:val="007060C0"/>
    <w:rsid w:val="00706101"/>
    <w:rsid w:val="00706742"/>
    <w:rsid w:val="00707072"/>
    <w:rsid w:val="00707219"/>
    <w:rsid w:val="007075DD"/>
    <w:rsid w:val="00707D61"/>
    <w:rsid w:val="00711235"/>
    <w:rsid w:val="00711AF2"/>
    <w:rsid w:val="00711D1F"/>
    <w:rsid w:val="00712287"/>
    <w:rsid w:val="00712546"/>
    <w:rsid w:val="00712772"/>
    <w:rsid w:val="00712A44"/>
    <w:rsid w:val="007148D3"/>
    <w:rsid w:val="00714902"/>
    <w:rsid w:val="00715B9A"/>
    <w:rsid w:val="00715EAD"/>
    <w:rsid w:val="00716523"/>
    <w:rsid w:val="0071684A"/>
    <w:rsid w:val="007178C8"/>
    <w:rsid w:val="00717ABC"/>
    <w:rsid w:val="00720C33"/>
    <w:rsid w:val="00721468"/>
    <w:rsid w:val="00721B32"/>
    <w:rsid w:val="007220C0"/>
    <w:rsid w:val="00722C2B"/>
    <w:rsid w:val="007257D0"/>
    <w:rsid w:val="00725BB7"/>
    <w:rsid w:val="00726EA6"/>
    <w:rsid w:val="00727208"/>
    <w:rsid w:val="0072731F"/>
    <w:rsid w:val="00727680"/>
    <w:rsid w:val="00734223"/>
    <w:rsid w:val="00734306"/>
    <w:rsid w:val="007348B1"/>
    <w:rsid w:val="007350C7"/>
    <w:rsid w:val="007362A6"/>
    <w:rsid w:val="00736308"/>
    <w:rsid w:val="00736D7D"/>
    <w:rsid w:val="00740E58"/>
    <w:rsid w:val="00743377"/>
    <w:rsid w:val="007445A0"/>
    <w:rsid w:val="0074524B"/>
    <w:rsid w:val="0074603C"/>
    <w:rsid w:val="00746DCA"/>
    <w:rsid w:val="00747D8B"/>
    <w:rsid w:val="00750490"/>
    <w:rsid w:val="00751228"/>
    <w:rsid w:val="00753070"/>
    <w:rsid w:val="007532A8"/>
    <w:rsid w:val="0075366B"/>
    <w:rsid w:val="007544EA"/>
    <w:rsid w:val="00754D27"/>
    <w:rsid w:val="00755291"/>
    <w:rsid w:val="007571E1"/>
    <w:rsid w:val="0075754B"/>
    <w:rsid w:val="007604B2"/>
    <w:rsid w:val="00760690"/>
    <w:rsid w:val="0076086A"/>
    <w:rsid w:val="00762492"/>
    <w:rsid w:val="00762A99"/>
    <w:rsid w:val="00763932"/>
    <w:rsid w:val="00763F61"/>
    <w:rsid w:val="00764634"/>
    <w:rsid w:val="00765281"/>
    <w:rsid w:val="00766013"/>
    <w:rsid w:val="00766BAD"/>
    <w:rsid w:val="00770E96"/>
    <w:rsid w:val="00771FF5"/>
    <w:rsid w:val="007729A2"/>
    <w:rsid w:val="007739A6"/>
    <w:rsid w:val="007755F2"/>
    <w:rsid w:val="00775850"/>
    <w:rsid w:val="00775B87"/>
    <w:rsid w:val="00776971"/>
    <w:rsid w:val="00776A9F"/>
    <w:rsid w:val="007772A6"/>
    <w:rsid w:val="00780A80"/>
    <w:rsid w:val="0078177E"/>
    <w:rsid w:val="0078304C"/>
    <w:rsid w:val="007831C1"/>
    <w:rsid w:val="00783673"/>
    <w:rsid w:val="00783BEC"/>
    <w:rsid w:val="00785490"/>
    <w:rsid w:val="007868F6"/>
    <w:rsid w:val="00787B7A"/>
    <w:rsid w:val="00787D34"/>
    <w:rsid w:val="00790696"/>
    <w:rsid w:val="0079170E"/>
    <w:rsid w:val="007925EA"/>
    <w:rsid w:val="00793A01"/>
    <w:rsid w:val="00793CD8"/>
    <w:rsid w:val="007948A0"/>
    <w:rsid w:val="007955D1"/>
    <w:rsid w:val="007958B8"/>
    <w:rsid w:val="00795A7F"/>
    <w:rsid w:val="00795C92"/>
    <w:rsid w:val="00796231"/>
    <w:rsid w:val="00796669"/>
    <w:rsid w:val="007A0791"/>
    <w:rsid w:val="007A166D"/>
    <w:rsid w:val="007A1CB3"/>
    <w:rsid w:val="007A2242"/>
    <w:rsid w:val="007A278A"/>
    <w:rsid w:val="007A306F"/>
    <w:rsid w:val="007A3706"/>
    <w:rsid w:val="007A43A6"/>
    <w:rsid w:val="007A44B6"/>
    <w:rsid w:val="007A497D"/>
    <w:rsid w:val="007A58A6"/>
    <w:rsid w:val="007A5FB5"/>
    <w:rsid w:val="007A66A6"/>
    <w:rsid w:val="007A66E7"/>
    <w:rsid w:val="007A6B7C"/>
    <w:rsid w:val="007B1A1D"/>
    <w:rsid w:val="007B3D2D"/>
    <w:rsid w:val="007B42C5"/>
    <w:rsid w:val="007B494E"/>
    <w:rsid w:val="007B50AE"/>
    <w:rsid w:val="007B51DF"/>
    <w:rsid w:val="007B5FA7"/>
    <w:rsid w:val="007B61E3"/>
    <w:rsid w:val="007B6DE0"/>
    <w:rsid w:val="007B7B98"/>
    <w:rsid w:val="007C016C"/>
    <w:rsid w:val="007C05DD"/>
    <w:rsid w:val="007C06BA"/>
    <w:rsid w:val="007C1B84"/>
    <w:rsid w:val="007C3D18"/>
    <w:rsid w:val="007C52B0"/>
    <w:rsid w:val="007C5C81"/>
    <w:rsid w:val="007C60BF"/>
    <w:rsid w:val="007C65E5"/>
    <w:rsid w:val="007C6A07"/>
    <w:rsid w:val="007C75A1"/>
    <w:rsid w:val="007C77A5"/>
    <w:rsid w:val="007C7FBC"/>
    <w:rsid w:val="007D04E5"/>
    <w:rsid w:val="007D0634"/>
    <w:rsid w:val="007D0C73"/>
    <w:rsid w:val="007D2DDD"/>
    <w:rsid w:val="007D3A27"/>
    <w:rsid w:val="007D44D5"/>
    <w:rsid w:val="007D4EB3"/>
    <w:rsid w:val="007D588A"/>
    <w:rsid w:val="007D5901"/>
    <w:rsid w:val="007D651A"/>
    <w:rsid w:val="007D6EC4"/>
    <w:rsid w:val="007D7526"/>
    <w:rsid w:val="007D75DF"/>
    <w:rsid w:val="007E1258"/>
    <w:rsid w:val="007E2A24"/>
    <w:rsid w:val="007E2E2A"/>
    <w:rsid w:val="007E4610"/>
    <w:rsid w:val="007E4715"/>
    <w:rsid w:val="007E505B"/>
    <w:rsid w:val="007E636C"/>
    <w:rsid w:val="007E6D01"/>
    <w:rsid w:val="007E7091"/>
    <w:rsid w:val="007F0687"/>
    <w:rsid w:val="007F0BDE"/>
    <w:rsid w:val="007F39BB"/>
    <w:rsid w:val="007F42F4"/>
    <w:rsid w:val="007F4351"/>
    <w:rsid w:val="007F69B7"/>
    <w:rsid w:val="007F7D15"/>
    <w:rsid w:val="008011CD"/>
    <w:rsid w:val="00801782"/>
    <w:rsid w:val="00801849"/>
    <w:rsid w:val="00802F5D"/>
    <w:rsid w:val="008038B1"/>
    <w:rsid w:val="008038B8"/>
    <w:rsid w:val="008039E2"/>
    <w:rsid w:val="00803E79"/>
    <w:rsid w:val="00803FAE"/>
    <w:rsid w:val="0080480B"/>
    <w:rsid w:val="0080536C"/>
    <w:rsid w:val="008059DF"/>
    <w:rsid w:val="0080605F"/>
    <w:rsid w:val="00807786"/>
    <w:rsid w:val="008112BF"/>
    <w:rsid w:val="00811FCB"/>
    <w:rsid w:val="00812005"/>
    <w:rsid w:val="00812242"/>
    <w:rsid w:val="0081237A"/>
    <w:rsid w:val="008124E5"/>
    <w:rsid w:val="008129F2"/>
    <w:rsid w:val="00812FCC"/>
    <w:rsid w:val="0081401B"/>
    <w:rsid w:val="008158D6"/>
    <w:rsid w:val="00815C35"/>
    <w:rsid w:val="00816A8F"/>
    <w:rsid w:val="00817196"/>
    <w:rsid w:val="00820943"/>
    <w:rsid w:val="00820F3D"/>
    <w:rsid w:val="00822A7C"/>
    <w:rsid w:val="008235DB"/>
    <w:rsid w:val="008247F0"/>
    <w:rsid w:val="00824AB4"/>
    <w:rsid w:val="00825C42"/>
    <w:rsid w:val="00825D25"/>
    <w:rsid w:val="00827AE2"/>
    <w:rsid w:val="00827D6F"/>
    <w:rsid w:val="00830CED"/>
    <w:rsid w:val="008312CF"/>
    <w:rsid w:val="00833B21"/>
    <w:rsid w:val="0083546B"/>
    <w:rsid w:val="0083594E"/>
    <w:rsid w:val="00836955"/>
    <w:rsid w:val="008376AC"/>
    <w:rsid w:val="00837BB1"/>
    <w:rsid w:val="00840019"/>
    <w:rsid w:val="00841FEE"/>
    <w:rsid w:val="00842A46"/>
    <w:rsid w:val="008436BF"/>
    <w:rsid w:val="00843ACF"/>
    <w:rsid w:val="008444E8"/>
    <w:rsid w:val="00844E80"/>
    <w:rsid w:val="00845532"/>
    <w:rsid w:val="00846FE7"/>
    <w:rsid w:val="008510A0"/>
    <w:rsid w:val="008519FE"/>
    <w:rsid w:val="0085244A"/>
    <w:rsid w:val="00852D20"/>
    <w:rsid w:val="00853B4B"/>
    <w:rsid w:val="008542AA"/>
    <w:rsid w:val="00856911"/>
    <w:rsid w:val="00860F3F"/>
    <w:rsid w:val="00861B85"/>
    <w:rsid w:val="00862005"/>
    <w:rsid w:val="00862894"/>
    <w:rsid w:val="00863191"/>
    <w:rsid w:val="00864BBF"/>
    <w:rsid w:val="00865E3A"/>
    <w:rsid w:val="00866113"/>
    <w:rsid w:val="00866D99"/>
    <w:rsid w:val="008677FD"/>
    <w:rsid w:val="008706D4"/>
    <w:rsid w:val="00870D7D"/>
    <w:rsid w:val="00870F8A"/>
    <w:rsid w:val="008717AA"/>
    <w:rsid w:val="008719A4"/>
    <w:rsid w:val="00871D23"/>
    <w:rsid w:val="00872101"/>
    <w:rsid w:val="00872E27"/>
    <w:rsid w:val="00872E3B"/>
    <w:rsid w:val="00873C00"/>
    <w:rsid w:val="00874312"/>
    <w:rsid w:val="0087437C"/>
    <w:rsid w:val="008745A3"/>
    <w:rsid w:val="0087488F"/>
    <w:rsid w:val="00875768"/>
    <w:rsid w:val="00875CD7"/>
    <w:rsid w:val="00876B4D"/>
    <w:rsid w:val="00877B89"/>
    <w:rsid w:val="00877F18"/>
    <w:rsid w:val="00880932"/>
    <w:rsid w:val="00881B38"/>
    <w:rsid w:val="008825E6"/>
    <w:rsid w:val="008841FA"/>
    <w:rsid w:val="008861FC"/>
    <w:rsid w:val="00886A27"/>
    <w:rsid w:val="00886E6B"/>
    <w:rsid w:val="00887799"/>
    <w:rsid w:val="00887F95"/>
    <w:rsid w:val="00892125"/>
    <w:rsid w:val="008935B6"/>
    <w:rsid w:val="00893B06"/>
    <w:rsid w:val="008941E3"/>
    <w:rsid w:val="00894A88"/>
    <w:rsid w:val="00895386"/>
    <w:rsid w:val="00895498"/>
    <w:rsid w:val="00896850"/>
    <w:rsid w:val="00897F76"/>
    <w:rsid w:val="008A1F47"/>
    <w:rsid w:val="008A21FF"/>
    <w:rsid w:val="008A2CE2"/>
    <w:rsid w:val="008A30AC"/>
    <w:rsid w:val="008A44B8"/>
    <w:rsid w:val="008A49E0"/>
    <w:rsid w:val="008A51A8"/>
    <w:rsid w:val="008A54C7"/>
    <w:rsid w:val="008A5ADF"/>
    <w:rsid w:val="008A6077"/>
    <w:rsid w:val="008A77D8"/>
    <w:rsid w:val="008A7B30"/>
    <w:rsid w:val="008B0483"/>
    <w:rsid w:val="008B04EA"/>
    <w:rsid w:val="008B099C"/>
    <w:rsid w:val="008B120C"/>
    <w:rsid w:val="008B3139"/>
    <w:rsid w:val="008B40A7"/>
    <w:rsid w:val="008B4FD5"/>
    <w:rsid w:val="008B506A"/>
    <w:rsid w:val="008B51A0"/>
    <w:rsid w:val="008B592A"/>
    <w:rsid w:val="008B5AC0"/>
    <w:rsid w:val="008B6472"/>
    <w:rsid w:val="008B664E"/>
    <w:rsid w:val="008B6CD7"/>
    <w:rsid w:val="008B79EC"/>
    <w:rsid w:val="008B7B5C"/>
    <w:rsid w:val="008C0647"/>
    <w:rsid w:val="008C0BB0"/>
    <w:rsid w:val="008C0C99"/>
    <w:rsid w:val="008C1075"/>
    <w:rsid w:val="008C180A"/>
    <w:rsid w:val="008C2017"/>
    <w:rsid w:val="008C45D3"/>
    <w:rsid w:val="008C4627"/>
    <w:rsid w:val="008C4958"/>
    <w:rsid w:val="008C4BAA"/>
    <w:rsid w:val="008C6AE8"/>
    <w:rsid w:val="008C7573"/>
    <w:rsid w:val="008D00A5"/>
    <w:rsid w:val="008D18AD"/>
    <w:rsid w:val="008D2832"/>
    <w:rsid w:val="008D34F1"/>
    <w:rsid w:val="008D39D8"/>
    <w:rsid w:val="008D41FE"/>
    <w:rsid w:val="008D5F20"/>
    <w:rsid w:val="008D6086"/>
    <w:rsid w:val="008D6D1A"/>
    <w:rsid w:val="008D7413"/>
    <w:rsid w:val="008E065E"/>
    <w:rsid w:val="008E0927"/>
    <w:rsid w:val="008E130C"/>
    <w:rsid w:val="008E1909"/>
    <w:rsid w:val="008E3070"/>
    <w:rsid w:val="008E35CF"/>
    <w:rsid w:val="008E3677"/>
    <w:rsid w:val="008E45B2"/>
    <w:rsid w:val="008E642A"/>
    <w:rsid w:val="008E6735"/>
    <w:rsid w:val="008E6A50"/>
    <w:rsid w:val="008E7258"/>
    <w:rsid w:val="008E7551"/>
    <w:rsid w:val="008F1C4E"/>
    <w:rsid w:val="008F1EAB"/>
    <w:rsid w:val="008F274D"/>
    <w:rsid w:val="008F2DF3"/>
    <w:rsid w:val="008F33DC"/>
    <w:rsid w:val="008F3ADA"/>
    <w:rsid w:val="008F477F"/>
    <w:rsid w:val="008F53FA"/>
    <w:rsid w:val="008F605A"/>
    <w:rsid w:val="008F7965"/>
    <w:rsid w:val="009006BC"/>
    <w:rsid w:val="0090136E"/>
    <w:rsid w:val="00901F70"/>
    <w:rsid w:val="00902350"/>
    <w:rsid w:val="00902415"/>
    <w:rsid w:val="00902B19"/>
    <w:rsid w:val="00903013"/>
    <w:rsid w:val="0090336B"/>
    <w:rsid w:val="009037A6"/>
    <w:rsid w:val="009037B8"/>
    <w:rsid w:val="009044A6"/>
    <w:rsid w:val="0090455C"/>
    <w:rsid w:val="009053AA"/>
    <w:rsid w:val="009053E7"/>
    <w:rsid w:val="00906939"/>
    <w:rsid w:val="00906B49"/>
    <w:rsid w:val="00910B7D"/>
    <w:rsid w:val="00911DFB"/>
    <w:rsid w:val="00912DFE"/>
    <w:rsid w:val="009139D9"/>
    <w:rsid w:val="00914AD8"/>
    <w:rsid w:val="00915676"/>
    <w:rsid w:val="00916079"/>
    <w:rsid w:val="00916D74"/>
    <w:rsid w:val="00916FAA"/>
    <w:rsid w:val="00917CE9"/>
    <w:rsid w:val="00917E33"/>
    <w:rsid w:val="0092052D"/>
    <w:rsid w:val="0092075B"/>
    <w:rsid w:val="00920BF2"/>
    <w:rsid w:val="00922010"/>
    <w:rsid w:val="00922D8D"/>
    <w:rsid w:val="00924318"/>
    <w:rsid w:val="0092445C"/>
    <w:rsid w:val="00924FF5"/>
    <w:rsid w:val="0092541B"/>
    <w:rsid w:val="00927403"/>
    <w:rsid w:val="00931BD9"/>
    <w:rsid w:val="0093572B"/>
    <w:rsid w:val="00935BE0"/>
    <w:rsid w:val="00936463"/>
    <w:rsid w:val="009368F3"/>
    <w:rsid w:val="00941636"/>
    <w:rsid w:val="00942F82"/>
    <w:rsid w:val="00943742"/>
    <w:rsid w:val="00945C05"/>
    <w:rsid w:val="00946608"/>
    <w:rsid w:val="00946945"/>
    <w:rsid w:val="00947713"/>
    <w:rsid w:val="00950DE7"/>
    <w:rsid w:val="00952501"/>
    <w:rsid w:val="00952780"/>
    <w:rsid w:val="00952AC4"/>
    <w:rsid w:val="00953920"/>
    <w:rsid w:val="00953ADA"/>
    <w:rsid w:val="00953D47"/>
    <w:rsid w:val="00953E35"/>
    <w:rsid w:val="009541EE"/>
    <w:rsid w:val="00954B69"/>
    <w:rsid w:val="0095681E"/>
    <w:rsid w:val="00956AF3"/>
    <w:rsid w:val="00956B6C"/>
    <w:rsid w:val="00956EC3"/>
    <w:rsid w:val="009572D4"/>
    <w:rsid w:val="00961724"/>
    <w:rsid w:val="00961921"/>
    <w:rsid w:val="009630DE"/>
    <w:rsid w:val="00963861"/>
    <w:rsid w:val="0096430A"/>
    <w:rsid w:val="0096554B"/>
    <w:rsid w:val="0096584A"/>
    <w:rsid w:val="009703CD"/>
    <w:rsid w:val="00971633"/>
    <w:rsid w:val="00971D54"/>
    <w:rsid w:val="00971F08"/>
    <w:rsid w:val="009753E6"/>
    <w:rsid w:val="0097603D"/>
    <w:rsid w:val="00976949"/>
    <w:rsid w:val="00976EAB"/>
    <w:rsid w:val="00980080"/>
    <w:rsid w:val="00980477"/>
    <w:rsid w:val="00980FF7"/>
    <w:rsid w:val="00981803"/>
    <w:rsid w:val="00981FA9"/>
    <w:rsid w:val="00983706"/>
    <w:rsid w:val="009839B1"/>
    <w:rsid w:val="00983C15"/>
    <w:rsid w:val="00984AD2"/>
    <w:rsid w:val="009850FC"/>
    <w:rsid w:val="00985253"/>
    <w:rsid w:val="009853B3"/>
    <w:rsid w:val="00986B12"/>
    <w:rsid w:val="009875ED"/>
    <w:rsid w:val="00990630"/>
    <w:rsid w:val="00991761"/>
    <w:rsid w:val="009926EE"/>
    <w:rsid w:val="00992EC1"/>
    <w:rsid w:val="00993FCB"/>
    <w:rsid w:val="00994DCA"/>
    <w:rsid w:val="009960EC"/>
    <w:rsid w:val="00996844"/>
    <w:rsid w:val="00996B08"/>
    <w:rsid w:val="009970DD"/>
    <w:rsid w:val="009973EA"/>
    <w:rsid w:val="009A00F1"/>
    <w:rsid w:val="009A0B0B"/>
    <w:rsid w:val="009A0FBA"/>
    <w:rsid w:val="009A1601"/>
    <w:rsid w:val="009A2080"/>
    <w:rsid w:val="009A2C3F"/>
    <w:rsid w:val="009A32B0"/>
    <w:rsid w:val="009A3BB6"/>
    <w:rsid w:val="009A462D"/>
    <w:rsid w:val="009A5CBA"/>
    <w:rsid w:val="009A5F66"/>
    <w:rsid w:val="009A7CEF"/>
    <w:rsid w:val="009A7F52"/>
    <w:rsid w:val="009B1314"/>
    <w:rsid w:val="009B1F30"/>
    <w:rsid w:val="009B3AC2"/>
    <w:rsid w:val="009B3B2C"/>
    <w:rsid w:val="009B4DF4"/>
    <w:rsid w:val="009B564E"/>
    <w:rsid w:val="009B67C9"/>
    <w:rsid w:val="009B6F32"/>
    <w:rsid w:val="009B7E87"/>
    <w:rsid w:val="009C0169"/>
    <w:rsid w:val="009C0884"/>
    <w:rsid w:val="009C2181"/>
    <w:rsid w:val="009C2F00"/>
    <w:rsid w:val="009C34C8"/>
    <w:rsid w:val="009C381D"/>
    <w:rsid w:val="009C403E"/>
    <w:rsid w:val="009C6BA2"/>
    <w:rsid w:val="009C6D8E"/>
    <w:rsid w:val="009D4FF0"/>
    <w:rsid w:val="009D54EF"/>
    <w:rsid w:val="009D703C"/>
    <w:rsid w:val="009D718F"/>
    <w:rsid w:val="009E0103"/>
    <w:rsid w:val="009E01A8"/>
    <w:rsid w:val="009E068F"/>
    <w:rsid w:val="009E11FA"/>
    <w:rsid w:val="009E136B"/>
    <w:rsid w:val="009E14E0"/>
    <w:rsid w:val="009E35DB"/>
    <w:rsid w:val="009E4032"/>
    <w:rsid w:val="009E4742"/>
    <w:rsid w:val="009E47A3"/>
    <w:rsid w:val="009E7563"/>
    <w:rsid w:val="009F08F3"/>
    <w:rsid w:val="009F0E7D"/>
    <w:rsid w:val="009F24ED"/>
    <w:rsid w:val="009F2693"/>
    <w:rsid w:val="009F2E7C"/>
    <w:rsid w:val="009F344F"/>
    <w:rsid w:val="009F44EC"/>
    <w:rsid w:val="009F53D4"/>
    <w:rsid w:val="009F6462"/>
    <w:rsid w:val="009F687E"/>
    <w:rsid w:val="00A00CF4"/>
    <w:rsid w:val="00A00E20"/>
    <w:rsid w:val="00A014FF"/>
    <w:rsid w:val="00A01EA8"/>
    <w:rsid w:val="00A02228"/>
    <w:rsid w:val="00A027DB"/>
    <w:rsid w:val="00A031D8"/>
    <w:rsid w:val="00A03E7A"/>
    <w:rsid w:val="00A048A8"/>
    <w:rsid w:val="00A04F49"/>
    <w:rsid w:val="00A05BD4"/>
    <w:rsid w:val="00A05DE6"/>
    <w:rsid w:val="00A06EA5"/>
    <w:rsid w:val="00A07D3A"/>
    <w:rsid w:val="00A119A4"/>
    <w:rsid w:val="00A11DA5"/>
    <w:rsid w:val="00A12263"/>
    <w:rsid w:val="00A12487"/>
    <w:rsid w:val="00A1302A"/>
    <w:rsid w:val="00A13E54"/>
    <w:rsid w:val="00A1517E"/>
    <w:rsid w:val="00A16DA1"/>
    <w:rsid w:val="00A17F63"/>
    <w:rsid w:val="00A17FCF"/>
    <w:rsid w:val="00A2193B"/>
    <w:rsid w:val="00A21A52"/>
    <w:rsid w:val="00A2351A"/>
    <w:rsid w:val="00A245B6"/>
    <w:rsid w:val="00A263D0"/>
    <w:rsid w:val="00A264A9"/>
    <w:rsid w:val="00A26B3D"/>
    <w:rsid w:val="00A26DCF"/>
    <w:rsid w:val="00A27785"/>
    <w:rsid w:val="00A27B63"/>
    <w:rsid w:val="00A27E0F"/>
    <w:rsid w:val="00A30187"/>
    <w:rsid w:val="00A302E3"/>
    <w:rsid w:val="00A30B01"/>
    <w:rsid w:val="00A30E81"/>
    <w:rsid w:val="00A3448A"/>
    <w:rsid w:val="00A3565A"/>
    <w:rsid w:val="00A35FE0"/>
    <w:rsid w:val="00A36297"/>
    <w:rsid w:val="00A36F75"/>
    <w:rsid w:val="00A40AB5"/>
    <w:rsid w:val="00A41E2B"/>
    <w:rsid w:val="00A42081"/>
    <w:rsid w:val="00A422DA"/>
    <w:rsid w:val="00A4277D"/>
    <w:rsid w:val="00A42C04"/>
    <w:rsid w:val="00A43087"/>
    <w:rsid w:val="00A4372D"/>
    <w:rsid w:val="00A43E75"/>
    <w:rsid w:val="00A45B74"/>
    <w:rsid w:val="00A45FBB"/>
    <w:rsid w:val="00A465EE"/>
    <w:rsid w:val="00A46B8D"/>
    <w:rsid w:val="00A47108"/>
    <w:rsid w:val="00A50349"/>
    <w:rsid w:val="00A51435"/>
    <w:rsid w:val="00A514CA"/>
    <w:rsid w:val="00A52E1D"/>
    <w:rsid w:val="00A53EE0"/>
    <w:rsid w:val="00A54A4B"/>
    <w:rsid w:val="00A54FBE"/>
    <w:rsid w:val="00A57825"/>
    <w:rsid w:val="00A61142"/>
    <w:rsid w:val="00A61499"/>
    <w:rsid w:val="00A6227F"/>
    <w:rsid w:val="00A62557"/>
    <w:rsid w:val="00A62A77"/>
    <w:rsid w:val="00A63483"/>
    <w:rsid w:val="00A64A16"/>
    <w:rsid w:val="00A657D7"/>
    <w:rsid w:val="00A659BE"/>
    <w:rsid w:val="00A660AC"/>
    <w:rsid w:val="00A66A8A"/>
    <w:rsid w:val="00A67E6C"/>
    <w:rsid w:val="00A7162F"/>
    <w:rsid w:val="00A71B99"/>
    <w:rsid w:val="00A732E3"/>
    <w:rsid w:val="00A739D0"/>
    <w:rsid w:val="00A7570F"/>
    <w:rsid w:val="00A75741"/>
    <w:rsid w:val="00A761D4"/>
    <w:rsid w:val="00A7650D"/>
    <w:rsid w:val="00A76EAC"/>
    <w:rsid w:val="00A77957"/>
    <w:rsid w:val="00A77EC4"/>
    <w:rsid w:val="00A8574B"/>
    <w:rsid w:val="00A87AEF"/>
    <w:rsid w:val="00A923A0"/>
    <w:rsid w:val="00A92879"/>
    <w:rsid w:val="00A92AFF"/>
    <w:rsid w:val="00A9442A"/>
    <w:rsid w:val="00A94F01"/>
    <w:rsid w:val="00A94F6D"/>
    <w:rsid w:val="00A9521D"/>
    <w:rsid w:val="00A96C93"/>
    <w:rsid w:val="00A96E18"/>
    <w:rsid w:val="00A972D3"/>
    <w:rsid w:val="00A97DF2"/>
    <w:rsid w:val="00AA016F"/>
    <w:rsid w:val="00AA1452"/>
    <w:rsid w:val="00AA1ED6"/>
    <w:rsid w:val="00AA229C"/>
    <w:rsid w:val="00AA22EE"/>
    <w:rsid w:val="00AA2B6F"/>
    <w:rsid w:val="00AA4E7F"/>
    <w:rsid w:val="00AA50C0"/>
    <w:rsid w:val="00AA51D6"/>
    <w:rsid w:val="00AA628A"/>
    <w:rsid w:val="00AA6946"/>
    <w:rsid w:val="00AB0013"/>
    <w:rsid w:val="00AB050C"/>
    <w:rsid w:val="00AB0BC8"/>
    <w:rsid w:val="00AB11CA"/>
    <w:rsid w:val="00AB14D9"/>
    <w:rsid w:val="00AB1FF1"/>
    <w:rsid w:val="00AB242D"/>
    <w:rsid w:val="00AB2A1A"/>
    <w:rsid w:val="00AB41AE"/>
    <w:rsid w:val="00AB488C"/>
    <w:rsid w:val="00AB4AB8"/>
    <w:rsid w:val="00AB655E"/>
    <w:rsid w:val="00AB6FD5"/>
    <w:rsid w:val="00AB707A"/>
    <w:rsid w:val="00AB7558"/>
    <w:rsid w:val="00AB7ED6"/>
    <w:rsid w:val="00AC007F"/>
    <w:rsid w:val="00AC0531"/>
    <w:rsid w:val="00AC177F"/>
    <w:rsid w:val="00AC2ECD"/>
    <w:rsid w:val="00AC3119"/>
    <w:rsid w:val="00AC3542"/>
    <w:rsid w:val="00AC38DF"/>
    <w:rsid w:val="00AC49FB"/>
    <w:rsid w:val="00AC4DFD"/>
    <w:rsid w:val="00AC5A10"/>
    <w:rsid w:val="00AC7314"/>
    <w:rsid w:val="00AD0218"/>
    <w:rsid w:val="00AD072E"/>
    <w:rsid w:val="00AD0AA3"/>
    <w:rsid w:val="00AD0B0A"/>
    <w:rsid w:val="00AD2ED0"/>
    <w:rsid w:val="00AD3F94"/>
    <w:rsid w:val="00AD4A5A"/>
    <w:rsid w:val="00AD51BF"/>
    <w:rsid w:val="00AD5E7B"/>
    <w:rsid w:val="00AD679B"/>
    <w:rsid w:val="00AD6A37"/>
    <w:rsid w:val="00AD778F"/>
    <w:rsid w:val="00AE190A"/>
    <w:rsid w:val="00AE1D81"/>
    <w:rsid w:val="00AE27AC"/>
    <w:rsid w:val="00AE2A5F"/>
    <w:rsid w:val="00AE3F3B"/>
    <w:rsid w:val="00AE40E0"/>
    <w:rsid w:val="00AE4230"/>
    <w:rsid w:val="00AE4DBA"/>
    <w:rsid w:val="00AE4F07"/>
    <w:rsid w:val="00AE6102"/>
    <w:rsid w:val="00AE73A6"/>
    <w:rsid w:val="00AF1C5D"/>
    <w:rsid w:val="00AF24DE"/>
    <w:rsid w:val="00AF42D7"/>
    <w:rsid w:val="00AF4645"/>
    <w:rsid w:val="00AF4CBD"/>
    <w:rsid w:val="00AF6C25"/>
    <w:rsid w:val="00AF7852"/>
    <w:rsid w:val="00AF7B31"/>
    <w:rsid w:val="00B006FE"/>
    <w:rsid w:val="00B007CB"/>
    <w:rsid w:val="00B02AA9"/>
    <w:rsid w:val="00B02BA4"/>
    <w:rsid w:val="00B02FA3"/>
    <w:rsid w:val="00B03FD8"/>
    <w:rsid w:val="00B0457D"/>
    <w:rsid w:val="00B05084"/>
    <w:rsid w:val="00B051DA"/>
    <w:rsid w:val="00B051F9"/>
    <w:rsid w:val="00B054C2"/>
    <w:rsid w:val="00B06036"/>
    <w:rsid w:val="00B07217"/>
    <w:rsid w:val="00B078C4"/>
    <w:rsid w:val="00B1007E"/>
    <w:rsid w:val="00B12027"/>
    <w:rsid w:val="00B127A3"/>
    <w:rsid w:val="00B13591"/>
    <w:rsid w:val="00B14CF8"/>
    <w:rsid w:val="00B157F9"/>
    <w:rsid w:val="00B15F81"/>
    <w:rsid w:val="00B1672D"/>
    <w:rsid w:val="00B20256"/>
    <w:rsid w:val="00B20D09"/>
    <w:rsid w:val="00B21F5E"/>
    <w:rsid w:val="00B230A1"/>
    <w:rsid w:val="00B23805"/>
    <w:rsid w:val="00B24494"/>
    <w:rsid w:val="00B24670"/>
    <w:rsid w:val="00B2763F"/>
    <w:rsid w:val="00B27AAC"/>
    <w:rsid w:val="00B30929"/>
    <w:rsid w:val="00B30C5D"/>
    <w:rsid w:val="00B3285B"/>
    <w:rsid w:val="00B33B7E"/>
    <w:rsid w:val="00B33FD2"/>
    <w:rsid w:val="00B36141"/>
    <w:rsid w:val="00B361B8"/>
    <w:rsid w:val="00B372AA"/>
    <w:rsid w:val="00B37F9E"/>
    <w:rsid w:val="00B40445"/>
    <w:rsid w:val="00B409E0"/>
    <w:rsid w:val="00B40BC6"/>
    <w:rsid w:val="00B411D0"/>
    <w:rsid w:val="00B41888"/>
    <w:rsid w:val="00B42B75"/>
    <w:rsid w:val="00B45A52"/>
    <w:rsid w:val="00B46175"/>
    <w:rsid w:val="00B4622A"/>
    <w:rsid w:val="00B46565"/>
    <w:rsid w:val="00B47ED0"/>
    <w:rsid w:val="00B47F52"/>
    <w:rsid w:val="00B50332"/>
    <w:rsid w:val="00B5306C"/>
    <w:rsid w:val="00B548B7"/>
    <w:rsid w:val="00B566D6"/>
    <w:rsid w:val="00B56A26"/>
    <w:rsid w:val="00B56B54"/>
    <w:rsid w:val="00B56BEE"/>
    <w:rsid w:val="00B57246"/>
    <w:rsid w:val="00B621C4"/>
    <w:rsid w:val="00B6221B"/>
    <w:rsid w:val="00B625BC"/>
    <w:rsid w:val="00B62F63"/>
    <w:rsid w:val="00B63626"/>
    <w:rsid w:val="00B63FFC"/>
    <w:rsid w:val="00B6530E"/>
    <w:rsid w:val="00B65413"/>
    <w:rsid w:val="00B664C7"/>
    <w:rsid w:val="00B665F5"/>
    <w:rsid w:val="00B67F0F"/>
    <w:rsid w:val="00B70275"/>
    <w:rsid w:val="00B713D8"/>
    <w:rsid w:val="00B71DDF"/>
    <w:rsid w:val="00B72AE9"/>
    <w:rsid w:val="00B73495"/>
    <w:rsid w:val="00B73611"/>
    <w:rsid w:val="00B739F6"/>
    <w:rsid w:val="00B7455D"/>
    <w:rsid w:val="00B75F02"/>
    <w:rsid w:val="00B76171"/>
    <w:rsid w:val="00B762BF"/>
    <w:rsid w:val="00B766F5"/>
    <w:rsid w:val="00B76EF4"/>
    <w:rsid w:val="00B7745A"/>
    <w:rsid w:val="00B778CB"/>
    <w:rsid w:val="00B77E4F"/>
    <w:rsid w:val="00B80661"/>
    <w:rsid w:val="00B81008"/>
    <w:rsid w:val="00B8197E"/>
    <w:rsid w:val="00B81A6C"/>
    <w:rsid w:val="00B83612"/>
    <w:rsid w:val="00B85DE5"/>
    <w:rsid w:val="00B90E01"/>
    <w:rsid w:val="00B90F73"/>
    <w:rsid w:val="00B93B59"/>
    <w:rsid w:val="00B93F2D"/>
    <w:rsid w:val="00B9406A"/>
    <w:rsid w:val="00B96377"/>
    <w:rsid w:val="00B96AF7"/>
    <w:rsid w:val="00B96EBC"/>
    <w:rsid w:val="00BA04A6"/>
    <w:rsid w:val="00BA19A1"/>
    <w:rsid w:val="00BA2280"/>
    <w:rsid w:val="00BA2410"/>
    <w:rsid w:val="00BA2A08"/>
    <w:rsid w:val="00BA2B6B"/>
    <w:rsid w:val="00BA3E95"/>
    <w:rsid w:val="00BA3FA7"/>
    <w:rsid w:val="00BA56D2"/>
    <w:rsid w:val="00BA576F"/>
    <w:rsid w:val="00BA6715"/>
    <w:rsid w:val="00BA7034"/>
    <w:rsid w:val="00BA76E0"/>
    <w:rsid w:val="00BB15A2"/>
    <w:rsid w:val="00BB1C2D"/>
    <w:rsid w:val="00BB1E9C"/>
    <w:rsid w:val="00BB2165"/>
    <w:rsid w:val="00BB2A25"/>
    <w:rsid w:val="00BB428E"/>
    <w:rsid w:val="00BB51E9"/>
    <w:rsid w:val="00BB5D25"/>
    <w:rsid w:val="00BC0AB7"/>
    <w:rsid w:val="00BC0FDC"/>
    <w:rsid w:val="00BC2A3D"/>
    <w:rsid w:val="00BC3053"/>
    <w:rsid w:val="00BC3DE4"/>
    <w:rsid w:val="00BC4D2E"/>
    <w:rsid w:val="00BD0FD1"/>
    <w:rsid w:val="00BD48AC"/>
    <w:rsid w:val="00BD4B24"/>
    <w:rsid w:val="00BD4FED"/>
    <w:rsid w:val="00BD521F"/>
    <w:rsid w:val="00BD5F1A"/>
    <w:rsid w:val="00BE03AF"/>
    <w:rsid w:val="00BE1234"/>
    <w:rsid w:val="00BE13AB"/>
    <w:rsid w:val="00BE230C"/>
    <w:rsid w:val="00BE2851"/>
    <w:rsid w:val="00BE2FA6"/>
    <w:rsid w:val="00BE31CD"/>
    <w:rsid w:val="00BE333F"/>
    <w:rsid w:val="00BE48D3"/>
    <w:rsid w:val="00BE564D"/>
    <w:rsid w:val="00BE6148"/>
    <w:rsid w:val="00BE7231"/>
    <w:rsid w:val="00BE7406"/>
    <w:rsid w:val="00BE7603"/>
    <w:rsid w:val="00BE7AF5"/>
    <w:rsid w:val="00BF0229"/>
    <w:rsid w:val="00BF1086"/>
    <w:rsid w:val="00BF2052"/>
    <w:rsid w:val="00BF2C0E"/>
    <w:rsid w:val="00BF3279"/>
    <w:rsid w:val="00BF35ED"/>
    <w:rsid w:val="00BF3CC2"/>
    <w:rsid w:val="00BF43B3"/>
    <w:rsid w:val="00BF4738"/>
    <w:rsid w:val="00BF4AF2"/>
    <w:rsid w:val="00BF5BE6"/>
    <w:rsid w:val="00BF6223"/>
    <w:rsid w:val="00BF64B6"/>
    <w:rsid w:val="00BF658A"/>
    <w:rsid w:val="00BF68D6"/>
    <w:rsid w:val="00BF6F23"/>
    <w:rsid w:val="00BF74C7"/>
    <w:rsid w:val="00BF79B1"/>
    <w:rsid w:val="00BF7EBF"/>
    <w:rsid w:val="00C00DEA"/>
    <w:rsid w:val="00C01251"/>
    <w:rsid w:val="00C0149B"/>
    <w:rsid w:val="00C015F1"/>
    <w:rsid w:val="00C01F33"/>
    <w:rsid w:val="00C02CC6"/>
    <w:rsid w:val="00C03A17"/>
    <w:rsid w:val="00C040F7"/>
    <w:rsid w:val="00C04348"/>
    <w:rsid w:val="00C044AB"/>
    <w:rsid w:val="00C05081"/>
    <w:rsid w:val="00C05706"/>
    <w:rsid w:val="00C06010"/>
    <w:rsid w:val="00C07377"/>
    <w:rsid w:val="00C0760B"/>
    <w:rsid w:val="00C10478"/>
    <w:rsid w:val="00C10FB7"/>
    <w:rsid w:val="00C12107"/>
    <w:rsid w:val="00C1267B"/>
    <w:rsid w:val="00C132CB"/>
    <w:rsid w:val="00C13EDF"/>
    <w:rsid w:val="00C14D4B"/>
    <w:rsid w:val="00C153CC"/>
    <w:rsid w:val="00C154BB"/>
    <w:rsid w:val="00C1743B"/>
    <w:rsid w:val="00C17EE6"/>
    <w:rsid w:val="00C209D4"/>
    <w:rsid w:val="00C2199B"/>
    <w:rsid w:val="00C247CA"/>
    <w:rsid w:val="00C279B5"/>
    <w:rsid w:val="00C27C45"/>
    <w:rsid w:val="00C30C75"/>
    <w:rsid w:val="00C31BF9"/>
    <w:rsid w:val="00C31D12"/>
    <w:rsid w:val="00C32917"/>
    <w:rsid w:val="00C3295F"/>
    <w:rsid w:val="00C32EFB"/>
    <w:rsid w:val="00C3312F"/>
    <w:rsid w:val="00C344EA"/>
    <w:rsid w:val="00C3519E"/>
    <w:rsid w:val="00C36072"/>
    <w:rsid w:val="00C360CF"/>
    <w:rsid w:val="00C37043"/>
    <w:rsid w:val="00C3719D"/>
    <w:rsid w:val="00C37CB2"/>
    <w:rsid w:val="00C40A6D"/>
    <w:rsid w:val="00C41330"/>
    <w:rsid w:val="00C4188A"/>
    <w:rsid w:val="00C42ABF"/>
    <w:rsid w:val="00C434AE"/>
    <w:rsid w:val="00C473A5"/>
    <w:rsid w:val="00C4786E"/>
    <w:rsid w:val="00C52255"/>
    <w:rsid w:val="00C52D6A"/>
    <w:rsid w:val="00C53F59"/>
    <w:rsid w:val="00C54435"/>
    <w:rsid w:val="00C54995"/>
    <w:rsid w:val="00C54BED"/>
    <w:rsid w:val="00C54D41"/>
    <w:rsid w:val="00C54FD1"/>
    <w:rsid w:val="00C57697"/>
    <w:rsid w:val="00C60577"/>
    <w:rsid w:val="00C6071A"/>
    <w:rsid w:val="00C60783"/>
    <w:rsid w:val="00C6093D"/>
    <w:rsid w:val="00C60F80"/>
    <w:rsid w:val="00C62386"/>
    <w:rsid w:val="00C633F0"/>
    <w:rsid w:val="00C637FF"/>
    <w:rsid w:val="00C639AF"/>
    <w:rsid w:val="00C63A34"/>
    <w:rsid w:val="00C63B62"/>
    <w:rsid w:val="00C64672"/>
    <w:rsid w:val="00C65491"/>
    <w:rsid w:val="00C658C7"/>
    <w:rsid w:val="00C67616"/>
    <w:rsid w:val="00C67AFF"/>
    <w:rsid w:val="00C70697"/>
    <w:rsid w:val="00C72093"/>
    <w:rsid w:val="00C728A7"/>
    <w:rsid w:val="00C72EF4"/>
    <w:rsid w:val="00C744FE"/>
    <w:rsid w:val="00C74AA3"/>
    <w:rsid w:val="00C7505F"/>
    <w:rsid w:val="00C75D2F"/>
    <w:rsid w:val="00C767BE"/>
    <w:rsid w:val="00C76CE0"/>
    <w:rsid w:val="00C76E3C"/>
    <w:rsid w:val="00C81568"/>
    <w:rsid w:val="00C81825"/>
    <w:rsid w:val="00C8199C"/>
    <w:rsid w:val="00C83F84"/>
    <w:rsid w:val="00C84818"/>
    <w:rsid w:val="00C84DC4"/>
    <w:rsid w:val="00C86F7D"/>
    <w:rsid w:val="00C9012D"/>
    <w:rsid w:val="00C9027A"/>
    <w:rsid w:val="00C902DE"/>
    <w:rsid w:val="00C9068E"/>
    <w:rsid w:val="00C906BB"/>
    <w:rsid w:val="00C90E52"/>
    <w:rsid w:val="00C9106D"/>
    <w:rsid w:val="00C9107D"/>
    <w:rsid w:val="00C912B8"/>
    <w:rsid w:val="00C9263D"/>
    <w:rsid w:val="00C93720"/>
    <w:rsid w:val="00C93814"/>
    <w:rsid w:val="00C93C4B"/>
    <w:rsid w:val="00C93CC5"/>
    <w:rsid w:val="00C944AB"/>
    <w:rsid w:val="00C95B40"/>
    <w:rsid w:val="00C9721F"/>
    <w:rsid w:val="00CA0100"/>
    <w:rsid w:val="00CA1ED8"/>
    <w:rsid w:val="00CA2731"/>
    <w:rsid w:val="00CA3CBC"/>
    <w:rsid w:val="00CA3F8D"/>
    <w:rsid w:val="00CA4867"/>
    <w:rsid w:val="00CA5BC2"/>
    <w:rsid w:val="00CA5EDF"/>
    <w:rsid w:val="00CA6061"/>
    <w:rsid w:val="00CB083C"/>
    <w:rsid w:val="00CB1F63"/>
    <w:rsid w:val="00CB235E"/>
    <w:rsid w:val="00CB26D7"/>
    <w:rsid w:val="00CB5177"/>
    <w:rsid w:val="00CB65EC"/>
    <w:rsid w:val="00CB7170"/>
    <w:rsid w:val="00CC040E"/>
    <w:rsid w:val="00CC05B6"/>
    <w:rsid w:val="00CC111F"/>
    <w:rsid w:val="00CC157F"/>
    <w:rsid w:val="00CC1B73"/>
    <w:rsid w:val="00CC2011"/>
    <w:rsid w:val="00CC3C3A"/>
    <w:rsid w:val="00CC3EA0"/>
    <w:rsid w:val="00CC4A18"/>
    <w:rsid w:val="00CC5EE1"/>
    <w:rsid w:val="00CC6919"/>
    <w:rsid w:val="00CC71D0"/>
    <w:rsid w:val="00CC7B45"/>
    <w:rsid w:val="00CC7EE3"/>
    <w:rsid w:val="00CD056E"/>
    <w:rsid w:val="00CD08EC"/>
    <w:rsid w:val="00CD0AA0"/>
    <w:rsid w:val="00CD1188"/>
    <w:rsid w:val="00CD1CA8"/>
    <w:rsid w:val="00CD2ED1"/>
    <w:rsid w:val="00CD337B"/>
    <w:rsid w:val="00CD3697"/>
    <w:rsid w:val="00CD3CBF"/>
    <w:rsid w:val="00CD4500"/>
    <w:rsid w:val="00CD5D79"/>
    <w:rsid w:val="00CD6EA1"/>
    <w:rsid w:val="00CD6EDA"/>
    <w:rsid w:val="00CD7432"/>
    <w:rsid w:val="00CE0424"/>
    <w:rsid w:val="00CE0733"/>
    <w:rsid w:val="00CE2F8B"/>
    <w:rsid w:val="00CE39E9"/>
    <w:rsid w:val="00CE44A3"/>
    <w:rsid w:val="00CE4882"/>
    <w:rsid w:val="00CE4D30"/>
    <w:rsid w:val="00CE4FEE"/>
    <w:rsid w:val="00CE583E"/>
    <w:rsid w:val="00CE5AA1"/>
    <w:rsid w:val="00CE6155"/>
    <w:rsid w:val="00CE6762"/>
    <w:rsid w:val="00CE7561"/>
    <w:rsid w:val="00CF04B6"/>
    <w:rsid w:val="00CF1354"/>
    <w:rsid w:val="00CF282E"/>
    <w:rsid w:val="00CF3842"/>
    <w:rsid w:val="00CF38BF"/>
    <w:rsid w:val="00CF3B1F"/>
    <w:rsid w:val="00CF3BF6"/>
    <w:rsid w:val="00CF4604"/>
    <w:rsid w:val="00CF4AE9"/>
    <w:rsid w:val="00CF4D5C"/>
    <w:rsid w:val="00CF625B"/>
    <w:rsid w:val="00CF66E3"/>
    <w:rsid w:val="00CF687E"/>
    <w:rsid w:val="00CF7BA9"/>
    <w:rsid w:val="00CF7FFD"/>
    <w:rsid w:val="00D0349B"/>
    <w:rsid w:val="00D036B6"/>
    <w:rsid w:val="00D04D9F"/>
    <w:rsid w:val="00D079BD"/>
    <w:rsid w:val="00D079D0"/>
    <w:rsid w:val="00D07D52"/>
    <w:rsid w:val="00D10249"/>
    <w:rsid w:val="00D109EE"/>
    <w:rsid w:val="00D10B26"/>
    <w:rsid w:val="00D115C3"/>
    <w:rsid w:val="00D11897"/>
    <w:rsid w:val="00D1262E"/>
    <w:rsid w:val="00D13071"/>
    <w:rsid w:val="00D13135"/>
    <w:rsid w:val="00D137D4"/>
    <w:rsid w:val="00D137F7"/>
    <w:rsid w:val="00D13E4E"/>
    <w:rsid w:val="00D14003"/>
    <w:rsid w:val="00D173BB"/>
    <w:rsid w:val="00D213A2"/>
    <w:rsid w:val="00D217E3"/>
    <w:rsid w:val="00D23238"/>
    <w:rsid w:val="00D239A7"/>
    <w:rsid w:val="00D23F47"/>
    <w:rsid w:val="00D23FDC"/>
    <w:rsid w:val="00D2671A"/>
    <w:rsid w:val="00D26C08"/>
    <w:rsid w:val="00D279EF"/>
    <w:rsid w:val="00D30CD5"/>
    <w:rsid w:val="00D3455A"/>
    <w:rsid w:val="00D34D9F"/>
    <w:rsid w:val="00D3526E"/>
    <w:rsid w:val="00D36E71"/>
    <w:rsid w:val="00D370E7"/>
    <w:rsid w:val="00D37D87"/>
    <w:rsid w:val="00D40B33"/>
    <w:rsid w:val="00D42C48"/>
    <w:rsid w:val="00D43017"/>
    <w:rsid w:val="00D4302F"/>
    <w:rsid w:val="00D4318F"/>
    <w:rsid w:val="00D438BF"/>
    <w:rsid w:val="00D43B50"/>
    <w:rsid w:val="00D440F8"/>
    <w:rsid w:val="00D446C2"/>
    <w:rsid w:val="00D44812"/>
    <w:rsid w:val="00D45508"/>
    <w:rsid w:val="00D4755A"/>
    <w:rsid w:val="00D4781E"/>
    <w:rsid w:val="00D47845"/>
    <w:rsid w:val="00D47A99"/>
    <w:rsid w:val="00D51103"/>
    <w:rsid w:val="00D517F8"/>
    <w:rsid w:val="00D518E7"/>
    <w:rsid w:val="00D52402"/>
    <w:rsid w:val="00D524DC"/>
    <w:rsid w:val="00D5282B"/>
    <w:rsid w:val="00D528EB"/>
    <w:rsid w:val="00D52A3F"/>
    <w:rsid w:val="00D546FF"/>
    <w:rsid w:val="00D54EA8"/>
    <w:rsid w:val="00D55A9B"/>
    <w:rsid w:val="00D55AD5"/>
    <w:rsid w:val="00D56D09"/>
    <w:rsid w:val="00D576CA"/>
    <w:rsid w:val="00D60A66"/>
    <w:rsid w:val="00D61AF5"/>
    <w:rsid w:val="00D628DA"/>
    <w:rsid w:val="00D634A4"/>
    <w:rsid w:val="00D647BB"/>
    <w:rsid w:val="00D647C8"/>
    <w:rsid w:val="00D652B5"/>
    <w:rsid w:val="00D66155"/>
    <w:rsid w:val="00D7017C"/>
    <w:rsid w:val="00D70711"/>
    <w:rsid w:val="00D708B0"/>
    <w:rsid w:val="00D7112B"/>
    <w:rsid w:val="00D71331"/>
    <w:rsid w:val="00D72354"/>
    <w:rsid w:val="00D73ACF"/>
    <w:rsid w:val="00D77B1D"/>
    <w:rsid w:val="00D8021F"/>
    <w:rsid w:val="00D80383"/>
    <w:rsid w:val="00D8077F"/>
    <w:rsid w:val="00D8093D"/>
    <w:rsid w:val="00D81C52"/>
    <w:rsid w:val="00D81CED"/>
    <w:rsid w:val="00D81F2D"/>
    <w:rsid w:val="00D820E9"/>
    <w:rsid w:val="00D823C6"/>
    <w:rsid w:val="00D8327F"/>
    <w:rsid w:val="00D83903"/>
    <w:rsid w:val="00D86CA3"/>
    <w:rsid w:val="00D871CE"/>
    <w:rsid w:val="00D87E5D"/>
    <w:rsid w:val="00D90AF8"/>
    <w:rsid w:val="00D9196D"/>
    <w:rsid w:val="00D92982"/>
    <w:rsid w:val="00D93663"/>
    <w:rsid w:val="00D94312"/>
    <w:rsid w:val="00D94D92"/>
    <w:rsid w:val="00D94E0E"/>
    <w:rsid w:val="00D956A5"/>
    <w:rsid w:val="00D96334"/>
    <w:rsid w:val="00D97650"/>
    <w:rsid w:val="00DA0110"/>
    <w:rsid w:val="00DA0DC3"/>
    <w:rsid w:val="00DA14FF"/>
    <w:rsid w:val="00DA293A"/>
    <w:rsid w:val="00DA2A31"/>
    <w:rsid w:val="00DA305E"/>
    <w:rsid w:val="00DA3844"/>
    <w:rsid w:val="00DA3A5E"/>
    <w:rsid w:val="00DA49B3"/>
    <w:rsid w:val="00DA5417"/>
    <w:rsid w:val="00DA5470"/>
    <w:rsid w:val="00DA56E8"/>
    <w:rsid w:val="00DA5E4F"/>
    <w:rsid w:val="00DA64BC"/>
    <w:rsid w:val="00DA7995"/>
    <w:rsid w:val="00DB0A9F"/>
    <w:rsid w:val="00DB2AFC"/>
    <w:rsid w:val="00DB377D"/>
    <w:rsid w:val="00DB4B7C"/>
    <w:rsid w:val="00DB5297"/>
    <w:rsid w:val="00DB548A"/>
    <w:rsid w:val="00DB7BA3"/>
    <w:rsid w:val="00DC1A27"/>
    <w:rsid w:val="00DC1A4F"/>
    <w:rsid w:val="00DC2D36"/>
    <w:rsid w:val="00DC2E81"/>
    <w:rsid w:val="00DC3282"/>
    <w:rsid w:val="00DC3A56"/>
    <w:rsid w:val="00DC4F72"/>
    <w:rsid w:val="00DC53EF"/>
    <w:rsid w:val="00DC709C"/>
    <w:rsid w:val="00DC7982"/>
    <w:rsid w:val="00DC7FD6"/>
    <w:rsid w:val="00DD06F7"/>
    <w:rsid w:val="00DD0F21"/>
    <w:rsid w:val="00DD24AB"/>
    <w:rsid w:val="00DD28B0"/>
    <w:rsid w:val="00DD2943"/>
    <w:rsid w:val="00DD2CED"/>
    <w:rsid w:val="00DD2E94"/>
    <w:rsid w:val="00DD3B22"/>
    <w:rsid w:val="00DD58C4"/>
    <w:rsid w:val="00DD5FAF"/>
    <w:rsid w:val="00DD6F6F"/>
    <w:rsid w:val="00DD7900"/>
    <w:rsid w:val="00DE0CD0"/>
    <w:rsid w:val="00DE1AA8"/>
    <w:rsid w:val="00DE3FFE"/>
    <w:rsid w:val="00DE5608"/>
    <w:rsid w:val="00DE58D0"/>
    <w:rsid w:val="00DE5E3B"/>
    <w:rsid w:val="00DE654F"/>
    <w:rsid w:val="00DE7002"/>
    <w:rsid w:val="00DE7076"/>
    <w:rsid w:val="00DF091A"/>
    <w:rsid w:val="00DF0A03"/>
    <w:rsid w:val="00DF0B6E"/>
    <w:rsid w:val="00DF15E0"/>
    <w:rsid w:val="00DF2887"/>
    <w:rsid w:val="00DF37A0"/>
    <w:rsid w:val="00DF54DC"/>
    <w:rsid w:val="00DF696D"/>
    <w:rsid w:val="00DF7293"/>
    <w:rsid w:val="00DF785A"/>
    <w:rsid w:val="00E00794"/>
    <w:rsid w:val="00E028D3"/>
    <w:rsid w:val="00E02DC5"/>
    <w:rsid w:val="00E054CA"/>
    <w:rsid w:val="00E05FBD"/>
    <w:rsid w:val="00E0620A"/>
    <w:rsid w:val="00E064C8"/>
    <w:rsid w:val="00E07146"/>
    <w:rsid w:val="00E0721D"/>
    <w:rsid w:val="00E076F3"/>
    <w:rsid w:val="00E10845"/>
    <w:rsid w:val="00E110E7"/>
    <w:rsid w:val="00E11B20"/>
    <w:rsid w:val="00E1252B"/>
    <w:rsid w:val="00E13672"/>
    <w:rsid w:val="00E164BC"/>
    <w:rsid w:val="00E175C3"/>
    <w:rsid w:val="00E177CF"/>
    <w:rsid w:val="00E17D7C"/>
    <w:rsid w:val="00E17FA2"/>
    <w:rsid w:val="00E20643"/>
    <w:rsid w:val="00E21356"/>
    <w:rsid w:val="00E21DDF"/>
    <w:rsid w:val="00E21E97"/>
    <w:rsid w:val="00E22330"/>
    <w:rsid w:val="00E22B42"/>
    <w:rsid w:val="00E22D8F"/>
    <w:rsid w:val="00E23153"/>
    <w:rsid w:val="00E2468D"/>
    <w:rsid w:val="00E2529F"/>
    <w:rsid w:val="00E26F51"/>
    <w:rsid w:val="00E27803"/>
    <w:rsid w:val="00E278BA"/>
    <w:rsid w:val="00E279C4"/>
    <w:rsid w:val="00E30B5A"/>
    <w:rsid w:val="00E3123D"/>
    <w:rsid w:val="00E31461"/>
    <w:rsid w:val="00E31A92"/>
    <w:rsid w:val="00E31D43"/>
    <w:rsid w:val="00E3237E"/>
    <w:rsid w:val="00E32608"/>
    <w:rsid w:val="00E339D1"/>
    <w:rsid w:val="00E34188"/>
    <w:rsid w:val="00E34B6E"/>
    <w:rsid w:val="00E35559"/>
    <w:rsid w:val="00E359A1"/>
    <w:rsid w:val="00E35AE9"/>
    <w:rsid w:val="00E365AA"/>
    <w:rsid w:val="00E3723A"/>
    <w:rsid w:val="00E375AB"/>
    <w:rsid w:val="00E37860"/>
    <w:rsid w:val="00E37B02"/>
    <w:rsid w:val="00E446F1"/>
    <w:rsid w:val="00E45060"/>
    <w:rsid w:val="00E45463"/>
    <w:rsid w:val="00E46886"/>
    <w:rsid w:val="00E47AEF"/>
    <w:rsid w:val="00E50C8E"/>
    <w:rsid w:val="00E50CBE"/>
    <w:rsid w:val="00E50D5A"/>
    <w:rsid w:val="00E51728"/>
    <w:rsid w:val="00E51E76"/>
    <w:rsid w:val="00E536F8"/>
    <w:rsid w:val="00E53A4C"/>
    <w:rsid w:val="00E53B75"/>
    <w:rsid w:val="00E546D3"/>
    <w:rsid w:val="00E54E3B"/>
    <w:rsid w:val="00E55599"/>
    <w:rsid w:val="00E56CDA"/>
    <w:rsid w:val="00E57565"/>
    <w:rsid w:val="00E62175"/>
    <w:rsid w:val="00E62F2F"/>
    <w:rsid w:val="00E63838"/>
    <w:rsid w:val="00E6418F"/>
    <w:rsid w:val="00E64218"/>
    <w:rsid w:val="00E64434"/>
    <w:rsid w:val="00E67C51"/>
    <w:rsid w:val="00E7157E"/>
    <w:rsid w:val="00E715F0"/>
    <w:rsid w:val="00E7167E"/>
    <w:rsid w:val="00E72EFC"/>
    <w:rsid w:val="00E730AB"/>
    <w:rsid w:val="00E7317F"/>
    <w:rsid w:val="00E75533"/>
    <w:rsid w:val="00E75881"/>
    <w:rsid w:val="00E758EC"/>
    <w:rsid w:val="00E76BBB"/>
    <w:rsid w:val="00E77D90"/>
    <w:rsid w:val="00E8234C"/>
    <w:rsid w:val="00E83AA9"/>
    <w:rsid w:val="00E84914"/>
    <w:rsid w:val="00E85928"/>
    <w:rsid w:val="00E85C97"/>
    <w:rsid w:val="00E862A0"/>
    <w:rsid w:val="00E87822"/>
    <w:rsid w:val="00E90395"/>
    <w:rsid w:val="00E904A1"/>
    <w:rsid w:val="00E90A56"/>
    <w:rsid w:val="00E90E49"/>
    <w:rsid w:val="00E917F9"/>
    <w:rsid w:val="00E9189D"/>
    <w:rsid w:val="00E91B0F"/>
    <w:rsid w:val="00E9206F"/>
    <w:rsid w:val="00E9291C"/>
    <w:rsid w:val="00E93EFE"/>
    <w:rsid w:val="00E93FFE"/>
    <w:rsid w:val="00E9458C"/>
    <w:rsid w:val="00E94E21"/>
    <w:rsid w:val="00E94F8A"/>
    <w:rsid w:val="00E96E59"/>
    <w:rsid w:val="00EA085D"/>
    <w:rsid w:val="00EA1270"/>
    <w:rsid w:val="00EA1401"/>
    <w:rsid w:val="00EA3B70"/>
    <w:rsid w:val="00EA3D59"/>
    <w:rsid w:val="00EA495D"/>
    <w:rsid w:val="00EA70E3"/>
    <w:rsid w:val="00EA7A41"/>
    <w:rsid w:val="00EB077B"/>
    <w:rsid w:val="00EB3A4C"/>
    <w:rsid w:val="00EB4817"/>
    <w:rsid w:val="00EB4AA2"/>
    <w:rsid w:val="00EB4EA2"/>
    <w:rsid w:val="00EB506A"/>
    <w:rsid w:val="00EB6BE1"/>
    <w:rsid w:val="00EC05FF"/>
    <w:rsid w:val="00EC0E6F"/>
    <w:rsid w:val="00EC18F6"/>
    <w:rsid w:val="00EC24D5"/>
    <w:rsid w:val="00EC27C6"/>
    <w:rsid w:val="00EC4207"/>
    <w:rsid w:val="00EC4324"/>
    <w:rsid w:val="00EC4D58"/>
    <w:rsid w:val="00EC4D79"/>
    <w:rsid w:val="00EC515B"/>
    <w:rsid w:val="00EC5283"/>
    <w:rsid w:val="00EC5653"/>
    <w:rsid w:val="00EC71CE"/>
    <w:rsid w:val="00ED0BFE"/>
    <w:rsid w:val="00ED1006"/>
    <w:rsid w:val="00ED1EFA"/>
    <w:rsid w:val="00ED28FE"/>
    <w:rsid w:val="00ED4505"/>
    <w:rsid w:val="00ED4A51"/>
    <w:rsid w:val="00ED5155"/>
    <w:rsid w:val="00ED6FFA"/>
    <w:rsid w:val="00EE0DD9"/>
    <w:rsid w:val="00EE1635"/>
    <w:rsid w:val="00EE177D"/>
    <w:rsid w:val="00EE31F3"/>
    <w:rsid w:val="00EE5044"/>
    <w:rsid w:val="00EE67F9"/>
    <w:rsid w:val="00EE73EB"/>
    <w:rsid w:val="00EE77D6"/>
    <w:rsid w:val="00EF18FE"/>
    <w:rsid w:val="00EF1FD1"/>
    <w:rsid w:val="00EF2C08"/>
    <w:rsid w:val="00EF349C"/>
    <w:rsid w:val="00EF5026"/>
    <w:rsid w:val="00EF5787"/>
    <w:rsid w:val="00EF60D0"/>
    <w:rsid w:val="00EF7270"/>
    <w:rsid w:val="00EF776E"/>
    <w:rsid w:val="00EF780D"/>
    <w:rsid w:val="00EF7925"/>
    <w:rsid w:val="00F0253B"/>
    <w:rsid w:val="00F03AD4"/>
    <w:rsid w:val="00F0409C"/>
    <w:rsid w:val="00F04424"/>
    <w:rsid w:val="00F0528D"/>
    <w:rsid w:val="00F06C67"/>
    <w:rsid w:val="00F06DFD"/>
    <w:rsid w:val="00F071D1"/>
    <w:rsid w:val="00F07533"/>
    <w:rsid w:val="00F076EE"/>
    <w:rsid w:val="00F07C7C"/>
    <w:rsid w:val="00F10629"/>
    <w:rsid w:val="00F12972"/>
    <w:rsid w:val="00F1397C"/>
    <w:rsid w:val="00F15FA5"/>
    <w:rsid w:val="00F17161"/>
    <w:rsid w:val="00F2001A"/>
    <w:rsid w:val="00F204DF"/>
    <w:rsid w:val="00F209B7"/>
    <w:rsid w:val="00F20CA2"/>
    <w:rsid w:val="00F2131E"/>
    <w:rsid w:val="00F221B2"/>
    <w:rsid w:val="00F22E65"/>
    <w:rsid w:val="00F23503"/>
    <w:rsid w:val="00F2376F"/>
    <w:rsid w:val="00F2422E"/>
    <w:rsid w:val="00F243D8"/>
    <w:rsid w:val="00F2450B"/>
    <w:rsid w:val="00F26162"/>
    <w:rsid w:val="00F2669F"/>
    <w:rsid w:val="00F3069B"/>
    <w:rsid w:val="00F30828"/>
    <w:rsid w:val="00F313D6"/>
    <w:rsid w:val="00F31AE3"/>
    <w:rsid w:val="00F323EF"/>
    <w:rsid w:val="00F325F9"/>
    <w:rsid w:val="00F339EF"/>
    <w:rsid w:val="00F34480"/>
    <w:rsid w:val="00F34D45"/>
    <w:rsid w:val="00F40163"/>
    <w:rsid w:val="00F407E8"/>
    <w:rsid w:val="00F40F0C"/>
    <w:rsid w:val="00F42F09"/>
    <w:rsid w:val="00F43177"/>
    <w:rsid w:val="00F45A7A"/>
    <w:rsid w:val="00F47517"/>
    <w:rsid w:val="00F47543"/>
    <w:rsid w:val="00F4766C"/>
    <w:rsid w:val="00F47B1A"/>
    <w:rsid w:val="00F47B41"/>
    <w:rsid w:val="00F502E8"/>
    <w:rsid w:val="00F5030F"/>
    <w:rsid w:val="00F5060E"/>
    <w:rsid w:val="00F507D1"/>
    <w:rsid w:val="00F50A73"/>
    <w:rsid w:val="00F519CE"/>
    <w:rsid w:val="00F51ADA"/>
    <w:rsid w:val="00F538ED"/>
    <w:rsid w:val="00F53CB2"/>
    <w:rsid w:val="00F54EC8"/>
    <w:rsid w:val="00F556D7"/>
    <w:rsid w:val="00F60203"/>
    <w:rsid w:val="00F607C5"/>
    <w:rsid w:val="00F60DEA"/>
    <w:rsid w:val="00F6151A"/>
    <w:rsid w:val="00F6173D"/>
    <w:rsid w:val="00F626BD"/>
    <w:rsid w:val="00F6302A"/>
    <w:rsid w:val="00F637BE"/>
    <w:rsid w:val="00F63950"/>
    <w:rsid w:val="00F64176"/>
    <w:rsid w:val="00F64C2B"/>
    <w:rsid w:val="00F64C67"/>
    <w:rsid w:val="00F651BE"/>
    <w:rsid w:val="00F67F53"/>
    <w:rsid w:val="00F703BE"/>
    <w:rsid w:val="00F71330"/>
    <w:rsid w:val="00F71995"/>
    <w:rsid w:val="00F71ACA"/>
    <w:rsid w:val="00F71F69"/>
    <w:rsid w:val="00F72B72"/>
    <w:rsid w:val="00F74BB9"/>
    <w:rsid w:val="00F75582"/>
    <w:rsid w:val="00F75B4B"/>
    <w:rsid w:val="00F75C57"/>
    <w:rsid w:val="00F76EFA"/>
    <w:rsid w:val="00F774E0"/>
    <w:rsid w:val="00F80126"/>
    <w:rsid w:val="00F804BE"/>
    <w:rsid w:val="00F817CE"/>
    <w:rsid w:val="00F8269F"/>
    <w:rsid w:val="00F82C54"/>
    <w:rsid w:val="00F83015"/>
    <w:rsid w:val="00F8323C"/>
    <w:rsid w:val="00F840D5"/>
    <w:rsid w:val="00F8451E"/>
    <w:rsid w:val="00F8456C"/>
    <w:rsid w:val="00F8576D"/>
    <w:rsid w:val="00F859D8"/>
    <w:rsid w:val="00F8651A"/>
    <w:rsid w:val="00F868F5"/>
    <w:rsid w:val="00F87B55"/>
    <w:rsid w:val="00F9056A"/>
    <w:rsid w:val="00F90F8D"/>
    <w:rsid w:val="00F917C9"/>
    <w:rsid w:val="00F91CFE"/>
    <w:rsid w:val="00F92782"/>
    <w:rsid w:val="00F929CC"/>
    <w:rsid w:val="00F92F0B"/>
    <w:rsid w:val="00F93AA9"/>
    <w:rsid w:val="00F93E3D"/>
    <w:rsid w:val="00F94621"/>
    <w:rsid w:val="00F95738"/>
    <w:rsid w:val="00F9664F"/>
    <w:rsid w:val="00F96985"/>
    <w:rsid w:val="00F97838"/>
    <w:rsid w:val="00FA184A"/>
    <w:rsid w:val="00FA22A5"/>
    <w:rsid w:val="00FA2BB3"/>
    <w:rsid w:val="00FA2CE5"/>
    <w:rsid w:val="00FA4102"/>
    <w:rsid w:val="00FA4989"/>
    <w:rsid w:val="00FA55A3"/>
    <w:rsid w:val="00FA5807"/>
    <w:rsid w:val="00FA59E2"/>
    <w:rsid w:val="00FA66F6"/>
    <w:rsid w:val="00FA6D88"/>
    <w:rsid w:val="00FA71D2"/>
    <w:rsid w:val="00FB13CE"/>
    <w:rsid w:val="00FB15B0"/>
    <w:rsid w:val="00FB1644"/>
    <w:rsid w:val="00FB46FB"/>
    <w:rsid w:val="00FB4C80"/>
    <w:rsid w:val="00FB5BD5"/>
    <w:rsid w:val="00FB5F53"/>
    <w:rsid w:val="00FB6A6A"/>
    <w:rsid w:val="00FB7F8F"/>
    <w:rsid w:val="00FC2555"/>
    <w:rsid w:val="00FC2906"/>
    <w:rsid w:val="00FC2FCA"/>
    <w:rsid w:val="00FC384F"/>
    <w:rsid w:val="00FC5A2C"/>
    <w:rsid w:val="00FC6A4A"/>
    <w:rsid w:val="00FC7143"/>
    <w:rsid w:val="00FC7429"/>
    <w:rsid w:val="00FC76D7"/>
    <w:rsid w:val="00FD07F6"/>
    <w:rsid w:val="00FD1EC8"/>
    <w:rsid w:val="00FD2C37"/>
    <w:rsid w:val="00FD47ED"/>
    <w:rsid w:val="00FD4DC4"/>
    <w:rsid w:val="00FD530B"/>
    <w:rsid w:val="00FD5E68"/>
    <w:rsid w:val="00FD7498"/>
    <w:rsid w:val="00FD74DB"/>
    <w:rsid w:val="00FD7660"/>
    <w:rsid w:val="00FD7C99"/>
    <w:rsid w:val="00FE0655"/>
    <w:rsid w:val="00FE1E56"/>
    <w:rsid w:val="00FE20DE"/>
    <w:rsid w:val="00FE21AA"/>
    <w:rsid w:val="00FE2365"/>
    <w:rsid w:val="00FE3131"/>
    <w:rsid w:val="00FE37D7"/>
    <w:rsid w:val="00FE4C7B"/>
    <w:rsid w:val="00FE4F5E"/>
    <w:rsid w:val="00FE5DCE"/>
    <w:rsid w:val="00FE64B0"/>
    <w:rsid w:val="00FE7278"/>
    <w:rsid w:val="00FE7336"/>
    <w:rsid w:val="00FE77C1"/>
    <w:rsid w:val="00FE787C"/>
    <w:rsid w:val="00FE7E4F"/>
    <w:rsid w:val="00FF0188"/>
    <w:rsid w:val="00FF02F8"/>
    <w:rsid w:val="00FF239F"/>
    <w:rsid w:val="00FF24C3"/>
    <w:rsid w:val="00FF295C"/>
    <w:rsid w:val="00FF45A5"/>
    <w:rsid w:val="00FF4A5A"/>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5C5E62D-5EC8-4533-89F5-331543FBF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DD0F21"/>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536F8"/>
    <w:rPr>
      <w:color w:val="808080"/>
    </w:rPr>
  </w:style>
  <w:style w:type="paragraph" w:styleId="Revision">
    <w:name w:val="Revision"/>
    <w:hidden/>
    <w:uiPriority w:val="99"/>
    <w:semiHidden/>
    <w:rsid w:val="000F69C8"/>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291856"/>
    <w:rPr>
      <w:color w:val="605E5C"/>
      <w:shd w:val="clear" w:color="auto" w:fill="E1DFDD"/>
    </w:rPr>
  </w:style>
  <w:style w:type="paragraph" w:styleId="TOCHeading">
    <w:name w:val="TOC Heading"/>
    <w:basedOn w:val="Heading1"/>
    <w:next w:val="Normal"/>
    <w:uiPriority w:val="39"/>
    <w:unhideWhenUsed/>
    <w:qFormat/>
    <w:rsid w:val="0054255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565868">
      <w:bodyDiv w:val="1"/>
      <w:marLeft w:val="0"/>
      <w:marRight w:val="0"/>
      <w:marTop w:val="0"/>
      <w:marBottom w:val="0"/>
      <w:divBdr>
        <w:top w:val="none" w:sz="0" w:space="0" w:color="auto"/>
        <w:left w:val="none" w:sz="0" w:space="0" w:color="auto"/>
        <w:bottom w:val="none" w:sz="0" w:space="0" w:color="auto"/>
        <w:right w:val="none" w:sz="0" w:space="0" w:color="auto"/>
      </w:divBdr>
    </w:div>
    <w:div w:id="905334068">
      <w:bodyDiv w:val="1"/>
      <w:marLeft w:val="0"/>
      <w:marRight w:val="0"/>
      <w:marTop w:val="0"/>
      <w:marBottom w:val="0"/>
      <w:divBdr>
        <w:top w:val="none" w:sz="0" w:space="0" w:color="auto"/>
        <w:left w:val="none" w:sz="0" w:space="0" w:color="auto"/>
        <w:bottom w:val="none" w:sz="0" w:space="0" w:color="auto"/>
        <w:right w:val="none" w:sz="0" w:space="0" w:color="auto"/>
      </w:divBdr>
    </w:div>
    <w:div w:id="9702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footer" Target="footer1.xml"/><Relationship Id="rId21" Type="http://schemas.openxmlformats.org/officeDocument/2006/relationships/image" Target="media/image9.emf"/><Relationship Id="rId34" Type="http://schemas.openxmlformats.org/officeDocument/2006/relationships/image" Target="media/image2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w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41" Type="http://schemas.openxmlformats.org/officeDocument/2006/relationships/theme" Target="theme/theme1.xml"/><Relationship Id="rId1" Type="http://schemas.openxmlformats.org/officeDocument/2006/relationships/customXml" Target="../customXml/item1.xml"/><Relationship Id="rId40" Type="http://schemas.openxmlformats.org/officeDocument/2006/relationships/fontTable" Target="fontTable.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image" Target="media/image20.wmf"/><Relationship Id="rId37" Type="http://schemas.openxmlformats.org/officeDocument/2006/relationships/image" Target="media/image25.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png"/><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wmf"/><Relationship Id="rId35" Type="http://schemas.openxmlformats.org/officeDocument/2006/relationships/image" Target="media/image23.wmf"/><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65CAA-7DA7-4D14-A2FE-E6F9C5C489D9}">
  <ds:schemaRefs>
    <ds:schemaRef ds:uri="http://schemas.openxmlformats.org/officeDocument/2006/bibliography"/>
  </ds:schemaRefs>
</ds:datastoreItem>
</file>

<file path=customXml/itemProps2.xml><?xml version="1.0" encoding="utf-8"?>
<ds:datastoreItem xmlns:ds="http://schemas.openxmlformats.org/officeDocument/2006/customXml" ds:itemID="{F62297FC-F2B4-487C-8BCD-9019CA1C61DC}"/>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d8762117-8292-4133-b1c7-eab5c6487cfd"/>
    <ds:schemaRef ds:uri="611109f9-ed58-4498-a270-1fb2086a5321"/>
    <ds:schemaRef ds:uri="http://schemas.microsoft.com/sharepoint/v4"/>
    <ds:schemaRef ds:uri="f166a696-7b5b-4ccd-9f0c-ffde0cceec8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94D32E3-0B07-40A3-98A2-4915D2BFC8A2}">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6FFA58C0-204A-4568-AB04-A8AAA114F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5335</TotalTime>
  <Pages>17</Pages>
  <Words>7249</Words>
  <Characters>39363</Characters>
  <Application>Microsoft Office Word</Application>
  <DocSecurity>0</DocSecurity>
  <Lines>328</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46519</CharactersWithSpaces>
  <SharedDoc>false</SharedDoc>
  <HLinks>
    <vt:vector size="84" baseType="variant">
      <vt:variant>
        <vt:i4>1310778</vt:i4>
      </vt:variant>
      <vt:variant>
        <vt:i4>179</vt:i4>
      </vt:variant>
      <vt:variant>
        <vt:i4>0</vt:i4>
      </vt:variant>
      <vt:variant>
        <vt:i4>5</vt:i4>
      </vt:variant>
      <vt:variant>
        <vt:lpwstr/>
      </vt:variant>
      <vt:variant>
        <vt:lpwstr>_Toc61769622</vt:lpwstr>
      </vt:variant>
      <vt:variant>
        <vt:i4>1507386</vt:i4>
      </vt:variant>
      <vt:variant>
        <vt:i4>176</vt:i4>
      </vt:variant>
      <vt:variant>
        <vt:i4>0</vt:i4>
      </vt:variant>
      <vt:variant>
        <vt:i4>5</vt:i4>
      </vt:variant>
      <vt:variant>
        <vt:lpwstr/>
      </vt:variant>
      <vt:variant>
        <vt:lpwstr>_Toc61769621</vt:lpwstr>
      </vt:variant>
      <vt:variant>
        <vt:i4>1441850</vt:i4>
      </vt:variant>
      <vt:variant>
        <vt:i4>173</vt:i4>
      </vt:variant>
      <vt:variant>
        <vt:i4>0</vt:i4>
      </vt:variant>
      <vt:variant>
        <vt:i4>5</vt:i4>
      </vt:variant>
      <vt:variant>
        <vt:lpwstr/>
      </vt:variant>
      <vt:variant>
        <vt:lpwstr>_Toc61769620</vt:lpwstr>
      </vt:variant>
      <vt:variant>
        <vt:i4>2031673</vt:i4>
      </vt:variant>
      <vt:variant>
        <vt:i4>170</vt:i4>
      </vt:variant>
      <vt:variant>
        <vt:i4>0</vt:i4>
      </vt:variant>
      <vt:variant>
        <vt:i4>5</vt:i4>
      </vt:variant>
      <vt:variant>
        <vt:lpwstr/>
      </vt:variant>
      <vt:variant>
        <vt:lpwstr>_Toc61769619</vt:lpwstr>
      </vt:variant>
      <vt:variant>
        <vt:i4>1966137</vt:i4>
      </vt:variant>
      <vt:variant>
        <vt:i4>167</vt:i4>
      </vt:variant>
      <vt:variant>
        <vt:i4>0</vt:i4>
      </vt:variant>
      <vt:variant>
        <vt:i4>5</vt:i4>
      </vt:variant>
      <vt:variant>
        <vt:lpwstr/>
      </vt:variant>
      <vt:variant>
        <vt:lpwstr>_Toc61769618</vt:lpwstr>
      </vt:variant>
      <vt:variant>
        <vt:i4>1179709</vt:i4>
      </vt:variant>
      <vt:variant>
        <vt:i4>161</vt:i4>
      </vt:variant>
      <vt:variant>
        <vt:i4>0</vt:i4>
      </vt:variant>
      <vt:variant>
        <vt:i4>5</vt:i4>
      </vt:variant>
      <vt:variant>
        <vt:lpwstr/>
      </vt:variant>
      <vt:variant>
        <vt:lpwstr>_Toc67926141</vt:lpwstr>
      </vt:variant>
      <vt:variant>
        <vt:i4>1245245</vt:i4>
      </vt:variant>
      <vt:variant>
        <vt:i4>158</vt:i4>
      </vt:variant>
      <vt:variant>
        <vt:i4>0</vt:i4>
      </vt:variant>
      <vt:variant>
        <vt:i4>5</vt:i4>
      </vt:variant>
      <vt:variant>
        <vt:lpwstr/>
      </vt:variant>
      <vt:variant>
        <vt:lpwstr>_Toc67926140</vt:lpwstr>
      </vt:variant>
      <vt:variant>
        <vt:i4>1703994</vt:i4>
      </vt:variant>
      <vt:variant>
        <vt:i4>155</vt:i4>
      </vt:variant>
      <vt:variant>
        <vt:i4>0</vt:i4>
      </vt:variant>
      <vt:variant>
        <vt:i4>5</vt:i4>
      </vt:variant>
      <vt:variant>
        <vt:lpwstr/>
      </vt:variant>
      <vt:variant>
        <vt:lpwstr>_Toc67926139</vt:lpwstr>
      </vt:variant>
      <vt:variant>
        <vt:i4>1769530</vt:i4>
      </vt:variant>
      <vt:variant>
        <vt:i4>152</vt:i4>
      </vt:variant>
      <vt:variant>
        <vt:i4>0</vt:i4>
      </vt:variant>
      <vt:variant>
        <vt:i4>5</vt:i4>
      </vt:variant>
      <vt:variant>
        <vt:lpwstr/>
      </vt:variant>
      <vt:variant>
        <vt:lpwstr>_Toc67926138</vt:lpwstr>
      </vt:variant>
      <vt:variant>
        <vt:i4>1310778</vt:i4>
      </vt:variant>
      <vt:variant>
        <vt:i4>149</vt:i4>
      </vt:variant>
      <vt:variant>
        <vt:i4>0</vt:i4>
      </vt:variant>
      <vt:variant>
        <vt:i4>5</vt:i4>
      </vt:variant>
      <vt:variant>
        <vt:lpwstr/>
      </vt:variant>
      <vt:variant>
        <vt:lpwstr>_Toc67926137</vt:lpwstr>
      </vt:variant>
      <vt:variant>
        <vt:i4>1376314</vt:i4>
      </vt:variant>
      <vt:variant>
        <vt:i4>146</vt:i4>
      </vt:variant>
      <vt:variant>
        <vt:i4>0</vt:i4>
      </vt:variant>
      <vt:variant>
        <vt:i4>5</vt:i4>
      </vt:variant>
      <vt:variant>
        <vt:lpwstr/>
      </vt:variant>
      <vt:variant>
        <vt:lpwstr>_Toc67926136</vt:lpwstr>
      </vt:variant>
      <vt:variant>
        <vt:i4>1441850</vt:i4>
      </vt:variant>
      <vt:variant>
        <vt:i4>143</vt:i4>
      </vt:variant>
      <vt:variant>
        <vt:i4>0</vt:i4>
      </vt:variant>
      <vt:variant>
        <vt:i4>5</vt:i4>
      </vt:variant>
      <vt:variant>
        <vt:lpwstr/>
      </vt:variant>
      <vt:variant>
        <vt:lpwstr>_Toc67926135</vt:lpwstr>
      </vt:variant>
      <vt:variant>
        <vt:i4>1507386</vt:i4>
      </vt:variant>
      <vt:variant>
        <vt:i4>140</vt:i4>
      </vt:variant>
      <vt:variant>
        <vt:i4>0</vt:i4>
      </vt:variant>
      <vt:variant>
        <vt:i4>5</vt:i4>
      </vt:variant>
      <vt:variant>
        <vt:lpwstr/>
      </vt:variant>
      <vt:variant>
        <vt:lpwstr>_Toc67926134</vt:lpwstr>
      </vt:variant>
      <vt:variant>
        <vt:i4>1048634</vt:i4>
      </vt:variant>
      <vt:variant>
        <vt:i4>137</vt:i4>
      </vt:variant>
      <vt:variant>
        <vt:i4>0</vt:i4>
      </vt:variant>
      <vt:variant>
        <vt:i4>5</vt:i4>
      </vt:variant>
      <vt:variant>
        <vt:lpwstr/>
      </vt:variant>
      <vt:variant>
        <vt:lpwstr>_Toc67926133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1462</cp:revision>
  <cp:lastPrinted>2008-01-31T07:09:00Z</cp:lastPrinted>
  <dcterms:created xsi:type="dcterms:W3CDTF">2020-08-29T07:51:00Z</dcterms:created>
  <dcterms:modified xsi:type="dcterms:W3CDTF">2021-04-06T21:12:00Z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741fd0ab-7f3e-435c-866d-82b55d53172a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42714800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5NUHHDQN7SK2-1476151046-430097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https://ericsson.sharepoint.com/sites/star/_layouts/15/DocIdRedir.aspx?ID=5NUHHDQN7SK2-1476151046-430097, 5NUHHDQN7SK2-1476151046-430097</vt:lpwstr>
  </property>
  <property fmtid="{D5CDD505-2E9C-101B-9397-08002B2CF9AE}" pid="22" name="_SourceUrl">
    <vt:lpwstr/>
  </property>
  <property fmtid="{D5CDD505-2E9C-101B-9397-08002B2CF9AE}" pid="23" name="_SharedFileIndex">
    <vt:lpwstr/>
  </property>
  <property fmtid="{D5CDD505-2E9C-101B-9397-08002B2CF9AE}" pid="24" name="_ExtendedDescription">
    <vt:lpwstr/>
  </property>
</Properties>
</file>